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276"/>
        <w:jc w:val="center"/>
        <w:rPr>
          <w:rFonts w:eastAsia="宋体"/>
          <w:b/>
          <w:bCs/>
          <w:sz w:val="40"/>
          <w:szCs w:val="22"/>
        </w:rPr>
      </w:pPr>
      <w:r>
        <w:rPr>
          <w:rFonts w:eastAsia="宋体"/>
          <w:b/>
          <w:bCs/>
          <w:sz w:val="40"/>
          <w:szCs w:val="22"/>
        </w:rPr>
        <w:t>青岛利百农养殖有限公司生猪养殖项目</w:t>
      </w:r>
    </w:p>
    <w:p>
      <w:pPr>
        <w:pStyle w:val="style0"/>
        <w:spacing w:lineRule="auto" w:line="276"/>
        <w:jc w:val="center"/>
        <w:rPr>
          <w:rFonts w:eastAsia="宋体"/>
          <w:b/>
          <w:bCs/>
          <w:sz w:val="40"/>
          <w:szCs w:val="22"/>
        </w:rPr>
      </w:pPr>
      <w:r>
        <w:rPr>
          <w:rFonts w:eastAsia="宋体"/>
          <w:b/>
          <w:bCs/>
          <w:sz w:val="40"/>
          <w:szCs w:val="22"/>
        </w:rPr>
        <w:t>竣工环境保护验收意见</w:t>
      </w:r>
    </w:p>
    <w:p>
      <w:pPr>
        <w:pStyle w:val="style0"/>
        <w:spacing w:lineRule="exact" w:line="460"/>
        <w:ind w:firstLine="480" w:firstLineChars="200"/>
        <w:rPr>
          <w:rFonts w:eastAsia="宋体"/>
          <w:sz w:val="32"/>
          <w:szCs w:val="32"/>
        </w:rPr>
      </w:pPr>
    </w:p>
    <w:p>
      <w:pPr>
        <w:pStyle w:val="style0"/>
        <w:spacing w:lineRule="exact" w:line="460"/>
        <w:ind w:firstLine="480" w:firstLineChars="200"/>
        <w:rPr>
          <w:rFonts w:eastAsia="宋体"/>
          <w:sz w:val="24"/>
          <w:szCs w:val="24"/>
          <w:highlight w:val="none"/>
        </w:rPr>
      </w:pPr>
      <w:r>
        <w:rPr>
          <w:rFonts w:eastAsia="宋体"/>
          <w:sz w:val="24"/>
          <w:szCs w:val="24"/>
          <w:highlight w:val="none"/>
        </w:rPr>
        <w:t>2020年1</w:t>
      </w:r>
      <w:r>
        <w:rPr>
          <w:rFonts w:eastAsia="宋体" w:hint="eastAsia"/>
          <w:sz w:val="24"/>
          <w:szCs w:val="24"/>
          <w:highlight w:val="none"/>
        </w:rPr>
        <w:t>1</w:t>
      </w:r>
      <w:r>
        <w:rPr>
          <w:rFonts w:eastAsia="宋体"/>
          <w:sz w:val="24"/>
          <w:szCs w:val="24"/>
          <w:highlight w:val="none"/>
        </w:rPr>
        <w:t>月</w:t>
      </w:r>
      <w:r>
        <w:rPr>
          <w:rFonts w:eastAsia="宋体" w:hint="eastAsia"/>
          <w:sz w:val="24"/>
          <w:szCs w:val="24"/>
          <w:highlight w:val="none"/>
        </w:rPr>
        <w:t>7</w:t>
      </w:r>
      <w:r>
        <w:rPr>
          <w:rFonts w:eastAsia="宋体"/>
          <w:sz w:val="24"/>
          <w:szCs w:val="24"/>
          <w:highlight w:val="none"/>
        </w:rPr>
        <w:t>日，青岛利百农养殖有限公司根据“生猪养殖项目”竣工环境保护验收监测报告，并对照《建设项目竣工环境保护验收暂行办法》，严格依照国家有关法律法规、建设项目竣工环境保护验收技术规范/指南、本项目环境影响报告书和审批部门审批决定等要求，对本项目进行验收，提出意见如下：</w:t>
      </w:r>
    </w:p>
    <w:p>
      <w:pPr>
        <w:pStyle w:val="style0"/>
        <w:spacing w:lineRule="exact" w:line="460"/>
        <w:ind w:firstLine="482" w:firstLineChars="200"/>
        <w:rPr>
          <w:rFonts w:eastAsia="宋体"/>
          <w:b/>
          <w:sz w:val="24"/>
          <w:szCs w:val="24"/>
          <w:highlight w:val="none"/>
        </w:rPr>
      </w:pPr>
      <w:r>
        <w:rPr>
          <w:rFonts w:eastAsia="宋体"/>
          <w:b/>
          <w:sz w:val="24"/>
          <w:szCs w:val="24"/>
          <w:highlight w:val="none"/>
        </w:rPr>
        <w:t>一、项目基本情况</w:t>
      </w:r>
    </w:p>
    <w:p>
      <w:pPr>
        <w:pStyle w:val="style0"/>
        <w:spacing w:lineRule="exact" w:line="460"/>
        <w:ind w:firstLine="480" w:firstLineChars="200"/>
        <w:rPr>
          <w:rFonts w:eastAsia="宋体"/>
          <w:sz w:val="24"/>
          <w:szCs w:val="24"/>
          <w:highlight w:val="none"/>
        </w:rPr>
      </w:pPr>
      <w:r>
        <w:rPr>
          <w:rFonts w:eastAsia="宋体"/>
          <w:sz w:val="24"/>
          <w:szCs w:val="24"/>
          <w:highlight w:val="none"/>
        </w:rPr>
        <w:t>（一）建设地点、规模、主要建设内容</w:t>
      </w:r>
    </w:p>
    <w:p>
      <w:pPr>
        <w:pStyle w:val="style0"/>
        <w:spacing w:lineRule="exact" w:line="460"/>
        <w:ind w:firstLine="480" w:firstLineChars="200"/>
        <w:rPr>
          <w:rFonts w:eastAsia="宋体"/>
          <w:sz w:val="24"/>
          <w:szCs w:val="24"/>
          <w:highlight w:val="none"/>
        </w:rPr>
      </w:pPr>
      <w:r>
        <w:rPr>
          <w:rFonts w:eastAsia="宋体"/>
          <w:sz w:val="24"/>
          <w:szCs w:val="24"/>
          <w:highlight w:val="none"/>
        </w:rPr>
        <w:t>青岛利百农养殖有限公司位于</w:t>
      </w:r>
      <w:r>
        <w:rPr>
          <w:rFonts w:eastAsia="宋体" w:hint="eastAsia"/>
          <w:sz w:val="24"/>
          <w:szCs w:val="24"/>
          <w:highlight w:val="none"/>
        </w:rPr>
        <w:t>蓼兰镇大吴庄村</w:t>
      </w:r>
      <w:r>
        <w:rPr>
          <w:rFonts w:eastAsia="宋体"/>
          <w:sz w:val="24"/>
          <w:szCs w:val="24"/>
          <w:highlight w:val="none"/>
        </w:rPr>
        <w:t xml:space="preserve">9 </w:t>
      </w:r>
      <w:r>
        <w:rPr>
          <w:rFonts w:eastAsia="宋体" w:hint="eastAsia"/>
          <w:sz w:val="24"/>
          <w:szCs w:val="24"/>
          <w:highlight w:val="none"/>
        </w:rPr>
        <w:t>号路北、二级沟（杨家丘路）以西。</w:t>
      </w:r>
    </w:p>
    <w:p>
      <w:pPr>
        <w:pStyle w:val="style0"/>
        <w:spacing w:lineRule="exact" w:line="460"/>
        <w:ind w:firstLine="480" w:firstLineChars="200"/>
        <w:rPr>
          <w:rFonts w:eastAsia="宋体" w:hint="eastAsia"/>
          <w:sz w:val="24"/>
          <w:szCs w:val="24"/>
          <w:highlight w:val="none"/>
        </w:rPr>
      </w:pPr>
      <w:r>
        <w:rPr>
          <w:rFonts w:eastAsia="宋体" w:hint="eastAsia"/>
          <w:sz w:val="24"/>
          <w:szCs w:val="24"/>
          <w:highlight w:val="none"/>
        </w:rPr>
        <w:t>“</w:t>
      </w:r>
      <w:r>
        <w:rPr>
          <w:rFonts w:eastAsia="宋体"/>
          <w:sz w:val="24"/>
          <w:szCs w:val="24"/>
          <w:highlight w:val="none"/>
        </w:rPr>
        <w:t>生猪养殖项目</w:t>
      </w:r>
      <w:r>
        <w:rPr>
          <w:rFonts w:eastAsia="宋体" w:hint="eastAsia"/>
          <w:sz w:val="24"/>
          <w:szCs w:val="24"/>
          <w:highlight w:val="none"/>
        </w:rPr>
        <w:t>”项目总投资2304万元，占地面积101200平方米，建筑面积21000平方米，建设内容包括其中包括</w:t>
      </w:r>
      <w:r>
        <w:rPr>
          <w:rFonts w:eastAsia="宋体"/>
          <w:sz w:val="24"/>
          <w:szCs w:val="24"/>
          <w:highlight w:val="none"/>
        </w:rPr>
        <w:t>8</w:t>
      </w:r>
      <w:r>
        <w:rPr>
          <w:rFonts w:eastAsia="宋体" w:hint="eastAsia"/>
          <w:sz w:val="24"/>
          <w:szCs w:val="24"/>
          <w:highlight w:val="none"/>
        </w:rPr>
        <w:t>栋育肥舍（</w:t>
      </w:r>
      <w:r>
        <w:rPr>
          <w:rFonts w:eastAsia="宋体"/>
          <w:sz w:val="24"/>
          <w:szCs w:val="24"/>
          <w:highlight w:val="none"/>
        </w:rPr>
        <w:t>2480m</w:t>
      </w:r>
      <w:r>
        <w:rPr>
          <w:rFonts w:eastAsia="宋体"/>
          <w:sz w:val="24"/>
          <w:szCs w:val="24"/>
          <w:highlight w:val="none"/>
          <w:vertAlign w:val="superscript"/>
        </w:rPr>
        <w:t>2</w:t>
      </w:r>
      <w:r>
        <w:rPr>
          <w:rFonts w:eastAsia="宋体"/>
          <w:sz w:val="24"/>
          <w:szCs w:val="24"/>
          <w:highlight w:val="none"/>
        </w:rPr>
        <w:t>/</w:t>
      </w:r>
      <w:r>
        <w:rPr>
          <w:rFonts w:eastAsia="宋体" w:hint="eastAsia"/>
          <w:sz w:val="24"/>
          <w:szCs w:val="24"/>
          <w:highlight w:val="none"/>
        </w:rPr>
        <w:t>栋，共</w:t>
      </w:r>
      <w:r>
        <w:rPr>
          <w:rFonts w:eastAsia="宋体"/>
          <w:sz w:val="24"/>
          <w:szCs w:val="24"/>
          <w:highlight w:val="none"/>
        </w:rPr>
        <w:t>19840m</w:t>
      </w:r>
      <w:r>
        <w:rPr>
          <w:rFonts w:eastAsia="宋体"/>
          <w:sz w:val="24"/>
          <w:szCs w:val="24"/>
          <w:highlight w:val="none"/>
          <w:vertAlign w:val="superscript"/>
        </w:rPr>
        <w:t>2</w:t>
      </w:r>
      <w:r>
        <w:rPr>
          <w:rFonts w:eastAsia="宋体" w:hint="eastAsia"/>
          <w:sz w:val="24"/>
          <w:szCs w:val="24"/>
          <w:highlight w:val="none"/>
        </w:rPr>
        <w:t>）、</w:t>
      </w:r>
      <w:r>
        <w:rPr>
          <w:rFonts w:eastAsia="宋体"/>
          <w:sz w:val="24"/>
          <w:szCs w:val="24"/>
          <w:highlight w:val="none"/>
        </w:rPr>
        <w:t>1</w:t>
      </w:r>
      <w:r>
        <w:rPr>
          <w:rFonts w:eastAsia="宋体" w:hint="eastAsia"/>
          <w:sz w:val="24"/>
          <w:szCs w:val="24"/>
          <w:highlight w:val="none"/>
        </w:rPr>
        <w:t>个晒渣台（</w:t>
      </w:r>
      <w:r>
        <w:rPr>
          <w:rFonts w:eastAsia="宋体"/>
          <w:sz w:val="24"/>
          <w:szCs w:val="24"/>
          <w:highlight w:val="none"/>
        </w:rPr>
        <w:t>450m</w:t>
      </w:r>
      <w:r>
        <w:rPr>
          <w:rFonts w:eastAsia="宋体"/>
          <w:sz w:val="24"/>
          <w:szCs w:val="24"/>
          <w:highlight w:val="none"/>
          <w:vertAlign w:val="superscript"/>
        </w:rPr>
        <w:t>2</w:t>
      </w:r>
      <w:r>
        <w:rPr>
          <w:rFonts w:eastAsia="宋体" w:hint="eastAsia"/>
          <w:sz w:val="24"/>
          <w:szCs w:val="24"/>
          <w:highlight w:val="none"/>
        </w:rPr>
        <w:t>）、</w:t>
      </w:r>
      <w:r>
        <w:rPr>
          <w:rFonts w:eastAsia="宋体"/>
          <w:sz w:val="24"/>
          <w:szCs w:val="24"/>
          <w:highlight w:val="none"/>
        </w:rPr>
        <w:t>1</w:t>
      </w:r>
      <w:r>
        <w:rPr>
          <w:rFonts w:eastAsia="宋体" w:hint="eastAsia"/>
          <w:sz w:val="24"/>
          <w:szCs w:val="24"/>
          <w:highlight w:val="none"/>
        </w:rPr>
        <w:t>间堆肥棚（</w:t>
      </w:r>
      <w:r>
        <w:rPr>
          <w:rFonts w:eastAsia="宋体"/>
          <w:sz w:val="24"/>
          <w:szCs w:val="24"/>
          <w:highlight w:val="none"/>
        </w:rPr>
        <w:t>73</w:t>
      </w:r>
      <w:bookmarkStart w:id="0" w:name="_GoBack"/>
      <w:bookmarkEnd w:id="0"/>
      <w:r>
        <w:rPr>
          <w:rFonts w:eastAsia="宋体"/>
          <w:sz w:val="24"/>
          <w:szCs w:val="24"/>
          <w:highlight w:val="none"/>
        </w:rPr>
        <w:t>.1m</w:t>
      </w:r>
      <w:r>
        <w:rPr>
          <w:rFonts w:eastAsia="宋体"/>
          <w:sz w:val="24"/>
          <w:szCs w:val="24"/>
          <w:highlight w:val="none"/>
          <w:vertAlign w:val="superscript"/>
        </w:rPr>
        <w:t>2</w:t>
      </w:r>
      <w:r>
        <w:rPr>
          <w:rFonts w:eastAsia="宋体" w:hint="eastAsia"/>
          <w:sz w:val="24"/>
          <w:szCs w:val="24"/>
          <w:highlight w:val="none"/>
        </w:rPr>
        <w:t>）、</w:t>
      </w:r>
      <w:r>
        <w:rPr>
          <w:rFonts w:eastAsia="宋体"/>
          <w:sz w:val="24"/>
          <w:szCs w:val="24"/>
          <w:highlight w:val="none"/>
        </w:rPr>
        <w:t>1</w:t>
      </w:r>
      <w:r>
        <w:rPr>
          <w:rFonts w:eastAsia="宋体" w:hint="eastAsia"/>
          <w:sz w:val="24"/>
          <w:szCs w:val="24"/>
          <w:highlight w:val="none"/>
        </w:rPr>
        <w:t>间病死猪暂存间（</w:t>
      </w:r>
      <w:r>
        <w:rPr>
          <w:rFonts w:eastAsia="宋体"/>
          <w:sz w:val="24"/>
          <w:szCs w:val="24"/>
          <w:highlight w:val="none"/>
        </w:rPr>
        <w:t>73.1m</w:t>
      </w:r>
      <w:r>
        <w:rPr>
          <w:rFonts w:eastAsia="宋体"/>
          <w:sz w:val="24"/>
          <w:szCs w:val="24"/>
          <w:highlight w:val="none"/>
          <w:vertAlign w:val="superscript"/>
        </w:rPr>
        <w:t>2</w:t>
      </w:r>
      <w:r>
        <w:rPr>
          <w:rFonts w:eastAsia="宋体" w:hint="eastAsia"/>
          <w:sz w:val="24"/>
          <w:szCs w:val="24"/>
          <w:highlight w:val="none"/>
        </w:rPr>
        <w:t>）、</w:t>
      </w:r>
      <w:r>
        <w:rPr>
          <w:rFonts w:eastAsia="宋体"/>
          <w:sz w:val="24"/>
          <w:szCs w:val="24"/>
          <w:highlight w:val="none"/>
        </w:rPr>
        <w:t>1</w:t>
      </w:r>
      <w:r>
        <w:rPr>
          <w:rFonts w:eastAsia="宋体" w:hint="eastAsia"/>
          <w:sz w:val="24"/>
          <w:szCs w:val="24"/>
          <w:highlight w:val="none"/>
        </w:rPr>
        <w:t>间售猪房（</w:t>
      </w:r>
      <w:r>
        <w:rPr>
          <w:rFonts w:eastAsia="宋体"/>
          <w:sz w:val="24"/>
          <w:szCs w:val="24"/>
          <w:highlight w:val="none"/>
        </w:rPr>
        <w:t>55.66m</w:t>
      </w:r>
      <w:r>
        <w:rPr>
          <w:rFonts w:eastAsia="宋体"/>
          <w:sz w:val="24"/>
          <w:szCs w:val="24"/>
          <w:highlight w:val="none"/>
          <w:vertAlign w:val="superscript"/>
        </w:rPr>
        <w:t>2</w:t>
      </w:r>
      <w:r>
        <w:rPr>
          <w:rFonts w:eastAsia="宋体" w:hint="eastAsia"/>
          <w:sz w:val="24"/>
          <w:szCs w:val="24"/>
          <w:highlight w:val="none"/>
        </w:rPr>
        <w:t>）、</w:t>
      </w:r>
      <w:r>
        <w:rPr>
          <w:rFonts w:eastAsia="宋体"/>
          <w:sz w:val="24"/>
          <w:szCs w:val="24"/>
          <w:highlight w:val="none"/>
        </w:rPr>
        <w:t>1</w:t>
      </w:r>
      <w:r>
        <w:rPr>
          <w:rFonts w:eastAsia="宋体" w:hint="eastAsia"/>
          <w:sz w:val="24"/>
          <w:szCs w:val="24"/>
          <w:highlight w:val="none"/>
        </w:rPr>
        <w:t>间待售猪房（</w:t>
      </w:r>
      <w:r>
        <w:rPr>
          <w:rFonts w:eastAsia="宋体"/>
          <w:sz w:val="24"/>
          <w:szCs w:val="24"/>
          <w:highlight w:val="none"/>
        </w:rPr>
        <w:t>55.66m</w:t>
      </w:r>
      <w:r>
        <w:rPr>
          <w:rFonts w:eastAsia="宋体"/>
          <w:sz w:val="24"/>
          <w:szCs w:val="24"/>
          <w:highlight w:val="none"/>
          <w:vertAlign w:val="superscript"/>
        </w:rPr>
        <w:t>2</w:t>
      </w:r>
      <w:r>
        <w:rPr>
          <w:rFonts w:eastAsia="宋体" w:hint="eastAsia"/>
          <w:sz w:val="24"/>
          <w:szCs w:val="24"/>
          <w:highlight w:val="none"/>
        </w:rPr>
        <w:t>）、</w:t>
      </w:r>
      <w:r>
        <w:rPr>
          <w:rFonts w:eastAsia="宋体"/>
          <w:sz w:val="24"/>
          <w:szCs w:val="24"/>
          <w:highlight w:val="none"/>
        </w:rPr>
        <w:t>1</w:t>
      </w:r>
      <w:r>
        <w:rPr>
          <w:rFonts w:eastAsia="宋体" w:hint="eastAsia"/>
          <w:sz w:val="24"/>
          <w:szCs w:val="24"/>
          <w:highlight w:val="none"/>
        </w:rPr>
        <w:t>栋</w:t>
      </w:r>
      <w:r>
        <w:rPr>
          <w:rFonts w:eastAsia="宋体"/>
          <w:sz w:val="24"/>
          <w:szCs w:val="24"/>
          <w:highlight w:val="none"/>
        </w:rPr>
        <w:t>2F</w:t>
      </w:r>
      <w:r>
        <w:rPr>
          <w:rFonts w:eastAsia="宋体" w:hint="eastAsia"/>
          <w:sz w:val="24"/>
          <w:szCs w:val="24"/>
          <w:highlight w:val="none"/>
        </w:rPr>
        <w:t>的办公及宿舍楼；购置肥猪大栏、全自动通风系统、全自动供料系统、天然气供暖系统、高压清洗机等设备共计439台/套，主要从事生猪养殖工作，年出栏肥猪</w:t>
      </w:r>
      <w:r>
        <w:rPr>
          <w:rFonts w:eastAsia="宋体"/>
          <w:sz w:val="24"/>
          <w:szCs w:val="24"/>
          <w:highlight w:val="none"/>
        </w:rPr>
        <w:t>38400</w:t>
      </w:r>
      <w:r>
        <w:rPr>
          <w:rFonts w:eastAsia="宋体" w:hint="eastAsia"/>
          <w:sz w:val="24"/>
          <w:szCs w:val="24"/>
          <w:highlight w:val="none"/>
        </w:rPr>
        <w:t>头。</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项目劳动定员12人，实行一班8小时工作制，年工作365天。</w:t>
      </w:r>
    </w:p>
    <w:p>
      <w:pPr>
        <w:pStyle w:val="style0"/>
        <w:spacing w:lineRule="exact" w:line="460"/>
        <w:ind w:firstLine="480" w:firstLineChars="200"/>
        <w:rPr>
          <w:rFonts w:eastAsia="宋体"/>
          <w:sz w:val="24"/>
          <w:szCs w:val="24"/>
          <w:highlight w:val="none"/>
        </w:rPr>
      </w:pPr>
      <w:r>
        <w:rPr>
          <w:rFonts w:eastAsia="宋体"/>
          <w:sz w:val="24"/>
          <w:szCs w:val="24"/>
          <w:highlight w:val="none"/>
        </w:rPr>
        <w:t>（二）建设过程及环保审批情况</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项目一期工程于2018年11月开工建设，2020年10月建设完成</w:t>
      </w:r>
      <w:r>
        <w:rPr>
          <w:rFonts w:eastAsia="宋体"/>
          <w:sz w:val="24"/>
          <w:szCs w:val="24"/>
          <w:highlight w:val="none"/>
        </w:rPr>
        <w:t>。</w:t>
      </w:r>
    </w:p>
    <w:p>
      <w:pPr>
        <w:pStyle w:val="style0"/>
        <w:spacing w:lineRule="exact" w:line="460"/>
        <w:ind w:firstLine="480" w:firstLineChars="200"/>
        <w:rPr>
          <w:rFonts w:eastAsia="宋体"/>
          <w:sz w:val="24"/>
          <w:szCs w:val="24"/>
          <w:highlight w:val="none"/>
        </w:rPr>
      </w:pPr>
      <w:r>
        <w:rPr>
          <w:rFonts w:eastAsia="宋体"/>
          <w:sz w:val="24"/>
          <w:szCs w:val="24"/>
          <w:highlight w:val="none"/>
        </w:rPr>
        <w:t>201</w:t>
      </w:r>
      <w:r>
        <w:rPr>
          <w:rFonts w:eastAsia="宋体" w:hint="eastAsia"/>
          <w:sz w:val="24"/>
          <w:szCs w:val="24"/>
          <w:highlight w:val="none"/>
        </w:rPr>
        <w:t>8</w:t>
      </w:r>
      <w:r>
        <w:rPr>
          <w:rFonts w:eastAsia="宋体"/>
          <w:sz w:val="24"/>
          <w:szCs w:val="24"/>
          <w:highlight w:val="none"/>
        </w:rPr>
        <w:t>年</w:t>
      </w:r>
      <w:r>
        <w:rPr>
          <w:rFonts w:eastAsia="宋体" w:hint="eastAsia"/>
          <w:sz w:val="24"/>
          <w:szCs w:val="24"/>
          <w:highlight w:val="none"/>
        </w:rPr>
        <w:t>5</w:t>
      </w:r>
      <w:r>
        <w:rPr>
          <w:rFonts w:eastAsia="宋体"/>
          <w:sz w:val="24"/>
          <w:szCs w:val="24"/>
          <w:highlight w:val="none"/>
        </w:rPr>
        <w:t>月，受企业委托，</w:t>
      </w:r>
      <w:r>
        <w:rPr>
          <w:rFonts w:eastAsia="宋体" w:hint="eastAsia"/>
          <w:sz w:val="24"/>
          <w:szCs w:val="24"/>
          <w:highlight w:val="none"/>
        </w:rPr>
        <w:t>河南金环环境影响评价有限公司</w:t>
      </w:r>
      <w:r>
        <w:rPr>
          <w:rFonts w:eastAsia="宋体"/>
          <w:sz w:val="24"/>
          <w:szCs w:val="24"/>
          <w:highlight w:val="none"/>
        </w:rPr>
        <w:t>对本项目进行了环境影响评价，编制完成了</w:t>
      </w:r>
      <w:r>
        <w:rPr>
          <w:rFonts w:eastAsia="宋体" w:hint="eastAsia"/>
          <w:sz w:val="24"/>
          <w:szCs w:val="24"/>
          <w:highlight w:val="none"/>
        </w:rPr>
        <w:t>《青岛利百农养殖有限公司</w:t>
      </w:r>
      <w:r>
        <w:rPr>
          <w:rFonts w:eastAsia="宋体"/>
          <w:sz w:val="24"/>
          <w:szCs w:val="24"/>
          <w:highlight w:val="none"/>
        </w:rPr>
        <w:t>生猪养殖项目</w:t>
      </w:r>
      <w:r>
        <w:rPr>
          <w:rFonts w:eastAsia="宋体" w:hint="eastAsia"/>
          <w:sz w:val="24"/>
          <w:szCs w:val="24"/>
          <w:highlight w:val="none"/>
        </w:rPr>
        <w:t>环境影响报告书》</w:t>
      </w:r>
      <w:r>
        <w:rPr>
          <w:rFonts w:eastAsia="宋体"/>
          <w:sz w:val="24"/>
          <w:szCs w:val="24"/>
          <w:highlight w:val="none"/>
        </w:rPr>
        <w:t>。</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2018年10月30日，原平度市环境保护局以平环审﹝2018﹞255号文件对本项目环境影响报告书进行了批复。</w:t>
      </w:r>
    </w:p>
    <w:p>
      <w:pPr>
        <w:pStyle w:val="style0"/>
        <w:spacing w:lineRule="exact" w:line="460"/>
        <w:ind w:firstLine="480" w:firstLineChars="200"/>
        <w:rPr>
          <w:rFonts w:eastAsia="宋体"/>
          <w:sz w:val="24"/>
          <w:szCs w:val="24"/>
          <w:highlight w:val="none"/>
        </w:rPr>
      </w:pPr>
      <w:r>
        <w:rPr>
          <w:rFonts w:eastAsia="宋体"/>
          <w:sz w:val="24"/>
          <w:szCs w:val="24"/>
          <w:highlight w:val="none"/>
        </w:rPr>
        <w:t>（三）投资情况</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w:t>
      </w:r>
      <w:r>
        <w:rPr>
          <w:rFonts w:eastAsia="宋体"/>
          <w:sz w:val="24"/>
          <w:szCs w:val="24"/>
          <w:highlight w:val="none"/>
        </w:rPr>
        <w:t>生猪养殖项目</w:t>
      </w:r>
      <w:r>
        <w:rPr>
          <w:rFonts w:eastAsia="宋体" w:hint="eastAsia"/>
          <w:sz w:val="24"/>
          <w:szCs w:val="24"/>
          <w:highlight w:val="none"/>
        </w:rPr>
        <w:t>”设计项目总投资</w:t>
      </w:r>
      <w:r>
        <w:rPr>
          <w:rFonts w:eastAsia="宋体"/>
          <w:sz w:val="24"/>
          <w:szCs w:val="24"/>
          <w:highlight w:val="none"/>
        </w:rPr>
        <w:t>2304</w:t>
      </w:r>
      <w:r>
        <w:rPr>
          <w:rFonts w:eastAsia="宋体" w:hint="eastAsia"/>
          <w:sz w:val="24"/>
          <w:szCs w:val="24"/>
          <w:highlight w:val="none"/>
        </w:rPr>
        <w:t>万元，</w:t>
      </w:r>
      <w:r>
        <w:rPr>
          <w:rFonts w:eastAsia="宋体"/>
          <w:sz w:val="24"/>
          <w:szCs w:val="24"/>
          <w:highlight w:val="none"/>
        </w:rPr>
        <w:t xml:space="preserve"> </w:t>
      </w:r>
      <w:r>
        <w:rPr>
          <w:rFonts w:eastAsia="宋体" w:hint="eastAsia"/>
          <w:sz w:val="24"/>
          <w:szCs w:val="24"/>
          <w:highlight w:val="none"/>
        </w:rPr>
        <w:t>其中环保投资</w:t>
      </w:r>
      <w:r>
        <w:rPr>
          <w:rFonts w:eastAsia="宋体"/>
          <w:sz w:val="24"/>
          <w:szCs w:val="24"/>
          <w:highlight w:val="none"/>
        </w:rPr>
        <w:t>300</w:t>
      </w:r>
      <w:r>
        <w:rPr>
          <w:rFonts w:eastAsia="宋体" w:hint="eastAsia"/>
          <w:sz w:val="24"/>
          <w:szCs w:val="24"/>
          <w:highlight w:val="none"/>
        </w:rPr>
        <w:t>万元</w:t>
      </w:r>
      <w:r>
        <w:rPr>
          <w:rFonts w:eastAsia="宋体"/>
          <w:sz w:val="24"/>
          <w:szCs w:val="24"/>
          <w:highlight w:val="none"/>
        </w:rPr>
        <w:t>，环保投资占项目总投资的</w:t>
      </w:r>
      <w:r>
        <w:rPr>
          <w:rFonts w:eastAsia="宋体" w:hint="eastAsia"/>
          <w:sz w:val="24"/>
          <w:szCs w:val="24"/>
          <w:highlight w:val="none"/>
        </w:rPr>
        <w:t>13</w:t>
      </w:r>
      <w:r>
        <w:rPr>
          <w:rFonts w:eastAsia="宋体"/>
          <w:sz w:val="24"/>
          <w:szCs w:val="24"/>
          <w:highlight w:val="none"/>
        </w:rPr>
        <w:t>%</w:t>
      </w:r>
      <w:r>
        <w:rPr>
          <w:rFonts w:eastAsia="宋体" w:hint="eastAsia"/>
          <w:sz w:val="24"/>
          <w:szCs w:val="24"/>
          <w:highlight w:val="none"/>
        </w:rPr>
        <w:t>，工程实际总投资</w:t>
      </w:r>
      <w:r>
        <w:rPr>
          <w:rFonts w:eastAsia="宋体"/>
          <w:sz w:val="24"/>
          <w:szCs w:val="24"/>
          <w:highlight w:val="none"/>
        </w:rPr>
        <w:t>2304</w:t>
      </w:r>
      <w:r>
        <w:rPr>
          <w:rFonts w:eastAsia="宋体" w:hint="eastAsia"/>
          <w:sz w:val="24"/>
          <w:szCs w:val="24"/>
          <w:highlight w:val="none"/>
        </w:rPr>
        <w:t>万元，</w:t>
      </w:r>
      <w:r>
        <w:rPr>
          <w:rFonts w:eastAsia="宋体"/>
          <w:sz w:val="24"/>
          <w:szCs w:val="24"/>
          <w:highlight w:val="none"/>
        </w:rPr>
        <w:t xml:space="preserve"> </w:t>
      </w:r>
      <w:r>
        <w:rPr>
          <w:rFonts w:eastAsia="宋体" w:hint="eastAsia"/>
          <w:sz w:val="24"/>
          <w:szCs w:val="24"/>
          <w:highlight w:val="none"/>
        </w:rPr>
        <w:t>其中环保投资</w:t>
      </w:r>
      <w:r>
        <w:rPr>
          <w:rFonts w:eastAsia="宋体"/>
          <w:sz w:val="24"/>
          <w:szCs w:val="24"/>
          <w:highlight w:val="none"/>
        </w:rPr>
        <w:t>300</w:t>
      </w:r>
      <w:r>
        <w:rPr>
          <w:rFonts w:eastAsia="宋体" w:hint="eastAsia"/>
          <w:sz w:val="24"/>
          <w:szCs w:val="24"/>
          <w:highlight w:val="none"/>
        </w:rPr>
        <w:t>万元</w:t>
      </w:r>
      <w:r>
        <w:rPr>
          <w:rFonts w:eastAsia="宋体"/>
          <w:sz w:val="24"/>
          <w:szCs w:val="24"/>
          <w:highlight w:val="none"/>
        </w:rPr>
        <w:t>，环保投资占项目总投资的</w:t>
      </w:r>
      <w:r>
        <w:rPr>
          <w:rFonts w:eastAsia="宋体" w:hint="eastAsia"/>
          <w:sz w:val="24"/>
          <w:szCs w:val="24"/>
          <w:highlight w:val="none"/>
        </w:rPr>
        <w:t>13</w:t>
      </w:r>
      <w:r>
        <w:rPr>
          <w:rFonts w:eastAsia="宋体"/>
          <w:sz w:val="24"/>
          <w:szCs w:val="24"/>
          <w:highlight w:val="none"/>
        </w:rPr>
        <w:t>%。</w:t>
      </w:r>
    </w:p>
    <w:p>
      <w:pPr>
        <w:pStyle w:val="style0"/>
        <w:spacing w:lineRule="exact" w:line="460"/>
        <w:ind w:firstLine="480" w:firstLineChars="200"/>
        <w:rPr>
          <w:rFonts w:eastAsia="宋体"/>
          <w:sz w:val="24"/>
          <w:szCs w:val="24"/>
          <w:highlight w:val="none"/>
        </w:rPr>
      </w:pPr>
      <w:r>
        <w:rPr>
          <w:rFonts w:eastAsia="宋体"/>
          <w:sz w:val="24"/>
          <w:szCs w:val="24"/>
          <w:highlight w:val="none"/>
        </w:rPr>
        <w:t>（四）验收范围</w:t>
      </w:r>
    </w:p>
    <w:p>
      <w:pPr>
        <w:pStyle w:val="style0"/>
        <w:spacing w:lineRule="exact" w:line="460"/>
        <w:ind w:firstLine="480" w:firstLineChars="200"/>
        <w:rPr>
          <w:rFonts w:eastAsia="宋体"/>
          <w:sz w:val="24"/>
          <w:szCs w:val="24"/>
          <w:highlight w:val="none"/>
        </w:rPr>
      </w:pPr>
      <w:r>
        <w:rPr>
          <w:rFonts w:eastAsia="宋体"/>
          <w:sz w:val="24"/>
          <w:szCs w:val="24"/>
          <w:highlight w:val="none"/>
        </w:rPr>
        <w:t>本次验收</w:t>
      </w:r>
      <w:r>
        <w:rPr>
          <w:rFonts w:eastAsia="宋体" w:hint="eastAsia"/>
          <w:sz w:val="24"/>
          <w:szCs w:val="24"/>
          <w:highlight w:val="none"/>
        </w:rPr>
        <w:t>范围为</w:t>
      </w:r>
      <w:r>
        <w:rPr>
          <w:rFonts w:eastAsia="宋体"/>
          <w:sz w:val="24"/>
          <w:szCs w:val="24"/>
          <w:highlight w:val="none"/>
        </w:rPr>
        <w:t>青岛利百农养殖有限公司生猪养殖项目</w:t>
      </w:r>
      <w:r>
        <w:rPr>
          <w:rFonts w:eastAsia="宋体" w:hint="eastAsia"/>
          <w:sz w:val="24"/>
          <w:szCs w:val="24"/>
          <w:highlight w:val="none"/>
        </w:rPr>
        <w:t>工程</w:t>
      </w:r>
      <w:r>
        <w:rPr>
          <w:rFonts w:eastAsia="宋体"/>
          <w:sz w:val="24"/>
          <w:szCs w:val="24"/>
          <w:highlight w:val="none"/>
        </w:rPr>
        <w:t>内容。</w:t>
      </w:r>
    </w:p>
    <w:p>
      <w:pPr>
        <w:pStyle w:val="style0"/>
        <w:spacing w:lineRule="exact" w:line="460"/>
        <w:ind w:firstLine="482" w:firstLineChars="200"/>
        <w:rPr>
          <w:rFonts w:eastAsia="宋体"/>
          <w:b/>
          <w:sz w:val="24"/>
          <w:szCs w:val="24"/>
          <w:highlight w:val="none"/>
        </w:rPr>
      </w:pPr>
      <w:r>
        <w:rPr>
          <w:rFonts w:eastAsia="宋体"/>
          <w:b/>
          <w:sz w:val="24"/>
          <w:szCs w:val="24"/>
          <w:highlight w:val="none"/>
        </w:rPr>
        <w:t>二、项目变动情况</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项目实际建设情况与环评及批复要求无变动。</w:t>
      </w:r>
    </w:p>
    <w:p>
      <w:pPr>
        <w:pStyle w:val="style0"/>
        <w:spacing w:lineRule="exact" w:line="460"/>
        <w:ind w:firstLine="482" w:firstLineChars="200"/>
        <w:rPr>
          <w:rFonts w:eastAsia="宋体"/>
          <w:b/>
          <w:sz w:val="24"/>
          <w:szCs w:val="24"/>
          <w:highlight w:val="none"/>
        </w:rPr>
      </w:pPr>
      <w:r>
        <w:rPr>
          <w:rFonts w:eastAsia="宋体"/>
          <w:b/>
          <w:sz w:val="24"/>
          <w:szCs w:val="24"/>
          <w:highlight w:val="none"/>
        </w:rPr>
        <w:t>三、环境保护设施建设情况</w:t>
      </w:r>
    </w:p>
    <w:p>
      <w:pPr>
        <w:pStyle w:val="style0"/>
        <w:spacing w:lineRule="exact" w:line="460"/>
        <w:ind w:firstLine="480" w:firstLineChars="200"/>
        <w:rPr>
          <w:rFonts w:eastAsia="宋体"/>
          <w:sz w:val="24"/>
          <w:szCs w:val="24"/>
          <w:highlight w:val="none"/>
        </w:rPr>
      </w:pPr>
      <w:r>
        <w:rPr>
          <w:rFonts w:eastAsia="宋体"/>
          <w:sz w:val="24"/>
          <w:szCs w:val="24"/>
          <w:highlight w:val="none"/>
        </w:rPr>
        <w:t>（一）废水</w:t>
      </w:r>
    </w:p>
    <w:p>
      <w:pPr>
        <w:pStyle w:val="style0"/>
        <w:spacing w:lineRule="exact" w:line="460"/>
        <w:ind w:firstLine="480" w:firstLineChars="200"/>
        <w:rPr>
          <w:rFonts w:eastAsia="宋体"/>
          <w:bCs/>
          <w:sz w:val="24"/>
          <w:szCs w:val="24"/>
          <w:highlight w:val="none"/>
        </w:rPr>
      </w:pPr>
      <w:r>
        <w:rPr>
          <w:rFonts w:eastAsia="宋体" w:hint="eastAsia"/>
          <w:sz w:val="24"/>
          <w:szCs w:val="24"/>
          <w:highlight w:val="none"/>
        </w:rPr>
        <w:t>本项目废水主要为生产废水</w:t>
      </w:r>
      <w:r>
        <w:rPr>
          <w:rFonts w:eastAsia="宋体" w:hint="eastAsia"/>
          <w:bCs/>
          <w:sz w:val="24"/>
          <w:szCs w:val="24"/>
          <w:highlight w:val="none"/>
        </w:rPr>
        <w:t>和职工生活污水，其中</w:t>
      </w:r>
      <w:r>
        <w:rPr>
          <w:rFonts w:eastAsia="宋体" w:hint="eastAsia"/>
          <w:sz w:val="24"/>
          <w:szCs w:val="24"/>
          <w:highlight w:val="none"/>
        </w:rPr>
        <w:t>生产废水包括</w:t>
      </w:r>
      <w:r>
        <w:rPr>
          <w:rFonts w:eastAsia="宋体" w:hint="eastAsia"/>
          <w:bCs/>
          <w:sz w:val="24"/>
          <w:szCs w:val="24"/>
          <w:highlight w:val="none"/>
        </w:rPr>
        <w:t>猪尿、猪舍及猪只冲洗废水。</w:t>
      </w:r>
    </w:p>
    <w:p>
      <w:pPr>
        <w:pStyle w:val="style0"/>
        <w:spacing w:lineRule="exact" w:line="460"/>
        <w:ind w:firstLine="480" w:firstLineChars="200"/>
        <w:rPr>
          <w:rFonts w:eastAsia="宋体"/>
          <w:bCs/>
          <w:sz w:val="24"/>
          <w:szCs w:val="24"/>
          <w:highlight w:val="none"/>
        </w:rPr>
      </w:pPr>
      <w:r>
        <w:rPr>
          <w:rFonts w:eastAsia="宋体" w:hint="eastAsia"/>
          <w:bCs/>
          <w:sz w:val="24"/>
          <w:szCs w:val="24"/>
          <w:highlight w:val="none"/>
        </w:rPr>
        <w:t>厂区排水系统按照“清污分流、雨污分流”原则涉及。项目采用干清粪工艺，猪粪用于堆肥发酵，猪尿、猪舍及猪只冲洗废水、职工生活污水（含餐饮废水）一起经管网输送至沼气池，厌氧发酵处理后沼液作为有机肥料，用于周边农田施肥，实现种养结合，不外排。所有与污水输运、贮存、处理等有关构筑物建设均进行防渗漏处理，防止污染土壤和地下水。</w:t>
      </w:r>
    </w:p>
    <w:p>
      <w:pPr>
        <w:pStyle w:val="style0"/>
        <w:spacing w:lineRule="exact" w:line="460"/>
        <w:ind w:firstLine="480" w:firstLineChars="200"/>
        <w:rPr>
          <w:rFonts w:eastAsia="宋体"/>
          <w:sz w:val="24"/>
          <w:szCs w:val="24"/>
          <w:highlight w:val="none"/>
        </w:rPr>
      </w:pPr>
      <w:r>
        <w:rPr>
          <w:rFonts w:eastAsia="宋体"/>
          <w:sz w:val="24"/>
          <w:szCs w:val="24"/>
          <w:highlight w:val="none"/>
        </w:rPr>
        <w:t>（二）废气</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项目养殖过程选用易消化的膨化饲料，猪舍、堆肥全封闭，晒渣半封闭，粪污输送管道密闭输送，采用先进的风循环系统、自动环境控制系统、自动喷雾消毒系统，采取喷洒植物除臭剂，种植绿色植物等措施，降低厂区恶臭气体对周围环境的影响。</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沼气池经厌氧发酵后产生的沼气经脱硫和脱水净化后通过火炬系统进行燃烧。</w:t>
      </w:r>
    </w:p>
    <w:p>
      <w:pPr>
        <w:pStyle w:val="style0"/>
        <w:spacing w:lineRule="exact" w:line="460"/>
        <w:ind w:firstLine="480" w:firstLineChars="200"/>
        <w:rPr>
          <w:rFonts w:eastAsia="宋体"/>
          <w:sz w:val="24"/>
          <w:szCs w:val="24"/>
          <w:highlight w:val="none"/>
        </w:rPr>
      </w:pPr>
      <w:r>
        <w:rPr>
          <w:rFonts w:eastAsia="宋体"/>
          <w:sz w:val="24"/>
          <w:szCs w:val="24"/>
          <w:highlight w:val="none"/>
        </w:rPr>
        <w:t>（三）噪声</w:t>
      </w:r>
    </w:p>
    <w:p>
      <w:pPr>
        <w:pStyle w:val="style0"/>
        <w:spacing w:lineRule="exact" w:line="460"/>
        <w:ind w:firstLine="480" w:firstLineChars="200"/>
        <w:rPr>
          <w:rFonts w:eastAsia="宋体"/>
          <w:sz w:val="24"/>
          <w:szCs w:val="24"/>
          <w:highlight w:val="none"/>
        </w:rPr>
      </w:pPr>
      <w:r>
        <w:rPr>
          <w:rFonts w:eastAsia="宋体"/>
          <w:sz w:val="24"/>
          <w:szCs w:val="24"/>
          <w:highlight w:val="none"/>
        </w:rPr>
        <w:t>项目营运期噪声主要是</w:t>
      </w:r>
      <w:r>
        <w:rPr>
          <w:rFonts w:eastAsia="宋体" w:hint="eastAsia"/>
          <w:sz w:val="24"/>
          <w:szCs w:val="24"/>
          <w:highlight w:val="none"/>
        </w:rPr>
        <w:t>设备运行噪声</w:t>
      </w:r>
      <w:r>
        <w:rPr>
          <w:rFonts w:eastAsia="宋体"/>
          <w:sz w:val="24"/>
          <w:szCs w:val="24"/>
          <w:highlight w:val="none"/>
        </w:rPr>
        <w:t>。</w:t>
      </w:r>
      <w:r>
        <w:rPr>
          <w:rFonts w:eastAsia="宋体" w:hint="eastAsia"/>
          <w:sz w:val="24"/>
          <w:szCs w:val="24"/>
          <w:highlight w:val="none"/>
        </w:rPr>
        <w:t>企业通过选用低噪声设备，合理布局，采取减振、消音、隔声等措施降低噪声的影响。</w:t>
      </w:r>
    </w:p>
    <w:p>
      <w:pPr>
        <w:pStyle w:val="style0"/>
        <w:spacing w:lineRule="exact" w:line="460"/>
        <w:ind w:firstLine="480" w:firstLineChars="200"/>
        <w:rPr>
          <w:rFonts w:eastAsia="宋体"/>
          <w:sz w:val="24"/>
          <w:szCs w:val="24"/>
          <w:highlight w:val="none"/>
        </w:rPr>
      </w:pPr>
      <w:r>
        <w:rPr>
          <w:rFonts w:eastAsia="宋体"/>
          <w:sz w:val="24"/>
          <w:szCs w:val="24"/>
          <w:highlight w:val="none"/>
        </w:rPr>
        <w:t>（四）固废</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项目运营过程中产生的病死猪定期委托青岛双元生物环保科技有限公司进行处置；猪粪运输至堆肥棚进行堆肥发酵，发酵产物用于周边农田施肥；防疫过程中产生的医疗垃圾、废外包装材料、废包装瓶、定期委托有危险废物处置资质的单位进行处置；沼气池工程厌氧发酵产生沼渣用于周边农田施肥；废脱硫剂由相关的物资回收部门进行回收综合利用；职工生活垃圾由环卫部门定期外运至城市垃圾填埋场集中处理。</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其中病死猪、医疗垃圾（检验用具及注射疫苗玻璃瓶）、猪舍消毒防疫过程中产生的废外包装袋及包装瓶</w:t>
      </w:r>
      <w:r>
        <w:rPr>
          <w:rFonts w:eastAsia="宋体"/>
          <w:sz w:val="24"/>
          <w:szCs w:val="24"/>
          <w:highlight w:val="none"/>
        </w:rPr>
        <w:t>目前</w:t>
      </w:r>
      <w:r>
        <w:rPr>
          <w:rFonts w:eastAsia="宋体" w:hint="eastAsia"/>
          <w:sz w:val="24"/>
          <w:szCs w:val="24"/>
          <w:highlight w:val="none"/>
        </w:rPr>
        <w:t>均未产生</w:t>
      </w:r>
      <w:r>
        <w:rPr>
          <w:rFonts w:eastAsia="宋体"/>
          <w:sz w:val="24"/>
          <w:szCs w:val="24"/>
          <w:highlight w:val="none"/>
        </w:rPr>
        <w:t>，</w:t>
      </w:r>
      <w:r>
        <w:rPr>
          <w:rFonts w:eastAsia="宋体" w:hint="eastAsia"/>
          <w:sz w:val="24"/>
          <w:szCs w:val="24"/>
          <w:highlight w:val="none"/>
        </w:rPr>
        <w:t>青岛利百农养殖有限公司</w:t>
      </w:r>
      <w:r>
        <w:rPr>
          <w:rFonts w:eastAsia="宋体"/>
          <w:sz w:val="24"/>
          <w:szCs w:val="24"/>
          <w:highlight w:val="none"/>
        </w:rPr>
        <w:t>承诺待</w:t>
      </w:r>
      <w:r>
        <w:rPr>
          <w:rFonts w:eastAsia="宋体" w:hint="eastAsia"/>
          <w:sz w:val="24"/>
          <w:szCs w:val="24"/>
          <w:highlight w:val="none"/>
        </w:rPr>
        <w:t>产生后</w:t>
      </w:r>
      <w:r>
        <w:rPr>
          <w:rFonts w:eastAsia="宋体"/>
          <w:sz w:val="24"/>
          <w:szCs w:val="24"/>
          <w:highlight w:val="none"/>
        </w:rPr>
        <w:t>后委托有资质单位进行处置。</w:t>
      </w:r>
    </w:p>
    <w:p>
      <w:pPr>
        <w:pStyle w:val="style0"/>
        <w:spacing w:lineRule="exact" w:line="460"/>
        <w:ind w:firstLine="480" w:firstLineChars="200"/>
        <w:rPr>
          <w:rFonts w:eastAsia="宋体"/>
          <w:sz w:val="24"/>
          <w:szCs w:val="24"/>
          <w:highlight w:val="none"/>
        </w:rPr>
      </w:pPr>
      <w:r>
        <w:rPr>
          <w:rFonts w:eastAsia="宋体"/>
          <w:sz w:val="24"/>
          <w:szCs w:val="24"/>
          <w:highlight w:val="none"/>
        </w:rPr>
        <w:t>（五）环境风险</w:t>
      </w:r>
    </w:p>
    <w:p>
      <w:pPr>
        <w:pStyle w:val="style0"/>
        <w:spacing w:lineRule="exact" w:line="460"/>
        <w:ind w:firstLine="480" w:firstLineChars="200"/>
        <w:rPr>
          <w:rFonts w:eastAsia="宋体"/>
          <w:sz w:val="24"/>
          <w:szCs w:val="24"/>
          <w:highlight w:val="none"/>
        </w:rPr>
      </w:pPr>
      <w:r>
        <w:rPr>
          <w:rFonts w:eastAsia="宋体"/>
          <w:sz w:val="24"/>
          <w:szCs w:val="24"/>
          <w:highlight w:val="none"/>
        </w:rPr>
        <w:t>企业突发环事件应急预案</w:t>
      </w:r>
      <w:r>
        <w:rPr>
          <w:rFonts w:eastAsia="宋体" w:hint="eastAsia"/>
          <w:sz w:val="24"/>
          <w:szCs w:val="24"/>
          <w:highlight w:val="none"/>
        </w:rPr>
        <w:t>正在编制过程中，待编制完成后</w:t>
      </w:r>
      <w:r>
        <w:rPr>
          <w:rFonts w:eastAsia="宋体"/>
          <w:sz w:val="24"/>
          <w:szCs w:val="24"/>
          <w:highlight w:val="none"/>
        </w:rPr>
        <w:t>在当地环保部门备案。</w:t>
      </w:r>
    </w:p>
    <w:p>
      <w:pPr>
        <w:pStyle w:val="style0"/>
        <w:spacing w:lineRule="exact" w:line="460"/>
        <w:ind w:firstLine="482" w:firstLineChars="200"/>
        <w:rPr>
          <w:rFonts w:eastAsia="宋体"/>
          <w:b/>
          <w:sz w:val="24"/>
          <w:szCs w:val="24"/>
          <w:highlight w:val="none"/>
        </w:rPr>
      </w:pPr>
      <w:r>
        <w:rPr>
          <w:rFonts w:eastAsia="宋体"/>
          <w:b/>
          <w:sz w:val="24"/>
          <w:szCs w:val="24"/>
          <w:highlight w:val="none"/>
        </w:rPr>
        <w:t>四、环保措施调试效果</w:t>
      </w:r>
    </w:p>
    <w:p>
      <w:pPr>
        <w:pStyle w:val="style0"/>
        <w:spacing w:lineRule="exact" w:line="460"/>
        <w:ind w:firstLine="480" w:firstLineChars="200"/>
        <w:rPr>
          <w:rFonts w:eastAsia="宋体"/>
          <w:sz w:val="24"/>
          <w:szCs w:val="24"/>
          <w:highlight w:val="none"/>
        </w:rPr>
      </w:pPr>
      <w:r>
        <w:rPr>
          <w:rFonts w:eastAsia="宋体"/>
          <w:sz w:val="24"/>
          <w:szCs w:val="24"/>
          <w:highlight w:val="none"/>
        </w:rPr>
        <w:t>青岛利百农养殖有限公司验收监测报告表明，验收监测期间：</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验收监测期间，沼气池沼液暂存池中沼液各类污染物浓度满足</w:t>
      </w:r>
      <w:r>
        <w:rPr>
          <w:rFonts w:eastAsia="宋体" w:hint="eastAsia"/>
          <w:sz w:val="24"/>
          <w:szCs w:val="24"/>
          <w:highlight w:val="none"/>
          <w:lang w:val="zh-TW"/>
        </w:rPr>
        <w:t>《畜禽养殖污染物排放标准》（GB18596-2001）要求。</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厂界硫化氢、氨无组织排放浓度满足《恶臭污染物排放标准》（GB 14554-93）表1恶臭污染物厂界排放标准限值要求</w:t>
      </w:r>
      <w:r>
        <w:rPr>
          <w:rFonts w:eastAsia="宋体" w:hint="eastAsia"/>
          <w:sz w:val="24"/>
          <w:szCs w:val="24"/>
          <w:highlight w:val="none"/>
          <w:lang w:val="zh-TW"/>
        </w:rPr>
        <w:t>，臭气浓度满足《畜禽养殖污染物排放标准》（GB18596-2001）中表7集约化畜禽养殖业恶臭污染物排放标准。</w:t>
      </w:r>
    </w:p>
    <w:p>
      <w:pPr>
        <w:pStyle w:val="style0"/>
        <w:spacing w:lineRule="exact" w:line="460"/>
        <w:ind w:firstLine="480" w:firstLineChars="200"/>
        <w:rPr>
          <w:rFonts w:eastAsia="宋体"/>
          <w:sz w:val="24"/>
          <w:szCs w:val="24"/>
          <w:highlight w:val="none"/>
        </w:rPr>
      </w:pPr>
      <w:r>
        <w:rPr>
          <w:rFonts w:eastAsia="宋体" w:hint="eastAsia"/>
          <w:sz w:val="24"/>
          <w:szCs w:val="24"/>
          <w:highlight w:val="none"/>
        </w:rPr>
        <w:t>厂界噪声满足《工业企业厂界环境噪声排放标准》（GB12348-2008）中</w:t>
      </w:r>
      <w:r>
        <w:rPr>
          <w:rFonts w:eastAsia="宋体"/>
          <w:sz w:val="24"/>
          <w:szCs w:val="24"/>
          <w:highlight w:val="none"/>
        </w:rPr>
        <w:fldChar w:fldCharType="begin"/>
      </w:r>
      <w:r>
        <w:rPr>
          <w:rFonts w:eastAsia="宋体"/>
          <w:sz w:val="24"/>
          <w:szCs w:val="24"/>
          <w:highlight w:val="none"/>
        </w:rPr>
        <w:instrText xml:space="preserve"> </w:instrText>
      </w:r>
      <w:r>
        <w:rPr>
          <w:rFonts w:eastAsia="宋体" w:hint="eastAsia"/>
          <w:sz w:val="24"/>
          <w:szCs w:val="24"/>
          <w:highlight w:val="none"/>
        </w:rPr>
        <w:instrText>= 1 \* ROMAN</w:instrText>
      </w:r>
      <w:r>
        <w:rPr>
          <w:rFonts w:eastAsia="宋体"/>
          <w:sz w:val="24"/>
          <w:szCs w:val="24"/>
          <w:highlight w:val="none"/>
        </w:rPr>
        <w:instrText xml:space="preserve"> </w:instrText>
      </w:r>
      <w:r>
        <w:rPr>
          <w:rFonts w:eastAsia="宋体"/>
          <w:sz w:val="24"/>
          <w:szCs w:val="24"/>
          <w:highlight w:val="none"/>
        </w:rPr>
        <w:fldChar w:fldCharType="separate"/>
      </w:r>
      <w:r>
        <w:rPr>
          <w:rFonts w:eastAsia="宋体"/>
          <w:noProof/>
          <w:sz w:val="24"/>
          <w:szCs w:val="24"/>
          <w:highlight w:val="none"/>
        </w:rPr>
        <w:t>I</w:t>
      </w:r>
      <w:r>
        <w:rPr>
          <w:rFonts w:eastAsia="宋体"/>
          <w:sz w:val="24"/>
          <w:szCs w:val="24"/>
          <w:highlight w:val="none"/>
        </w:rPr>
        <w:fldChar w:fldCharType="end"/>
      </w:r>
      <w:r>
        <w:rPr>
          <w:rFonts w:eastAsia="宋体" w:hint="eastAsia"/>
          <w:sz w:val="24"/>
          <w:szCs w:val="24"/>
          <w:highlight w:val="none"/>
        </w:rPr>
        <w:t>类标准限值要求。</w:t>
      </w:r>
    </w:p>
    <w:p>
      <w:pPr>
        <w:pStyle w:val="style0"/>
        <w:spacing w:lineRule="exact" w:line="460"/>
        <w:ind w:firstLine="482" w:firstLineChars="200"/>
        <w:rPr>
          <w:rFonts w:eastAsia="宋体"/>
          <w:b/>
          <w:sz w:val="24"/>
          <w:szCs w:val="24"/>
          <w:highlight w:val="none"/>
        </w:rPr>
      </w:pPr>
      <w:r>
        <w:rPr>
          <w:rFonts w:eastAsia="宋体"/>
          <w:b/>
          <w:sz w:val="24"/>
          <w:szCs w:val="24"/>
          <w:highlight w:val="none"/>
        </w:rPr>
        <w:t>五、验收结论</w:t>
      </w:r>
    </w:p>
    <w:p>
      <w:pPr>
        <w:pStyle w:val="style0"/>
        <w:spacing w:lineRule="exact" w:line="460"/>
        <w:ind w:firstLine="480" w:firstLineChars="200"/>
        <w:rPr>
          <w:rFonts w:eastAsia="宋体"/>
          <w:sz w:val="24"/>
          <w:szCs w:val="24"/>
          <w:highlight w:val="none"/>
        </w:rPr>
      </w:pPr>
      <w:r>
        <w:rPr>
          <w:rFonts w:eastAsia="宋体"/>
          <w:sz w:val="24"/>
          <w:szCs w:val="24"/>
          <w:highlight w:val="none"/>
        </w:rPr>
        <w:t>项目已按环评和批复要求完成“三同时”建设，无重大变动，污染物达标排放，验收监测报告结论可信，验收合格。</w:t>
      </w:r>
    </w:p>
    <w:p>
      <w:pPr>
        <w:pStyle w:val="style0"/>
        <w:spacing w:lineRule="exact" w:line="460"/>
        <w:ind w:firstLine="482" w:firstLineChars="200"/>
        <w:rPr>
          <w:rFonts w:eastAsia="宋体"/>
          <w:b/>
          <w:sz w:val="24"/>
          <w:szCs w:val="24"/>
          <w:highlight w:val="none"/>
        </w:rPr>
      </w:pPr>
      <w:r>
        <w:rPr>
          <w:rFonts w:eastAsia="宋体"/>
          <w:b/>
          <w:sz w:val="24"/>
          <w:szCs w:val="24"/>
          <w:highlight w:val="none"/>
        </w:rPr>
        <w:t>六、后续要求</w:t>
      </w:r>
    </w:p>
    <w:p>
      <w:pPr>
        <w:pStyle w:val="style0"/>
        <w:spacing w:lineRule="exact" w:line="460"/>
        <w:ind w:firstLine="480" w:firstLineChars="200"/>
        <w:rPr>
          <w:rFonts w:eastAsia="宋体"/>
          <w:sz w:val="24"/>
          <w:szCs w:val="24"/>
          <w:highlight w:val="none"/>
        </w:rPr>
      </w:pPr>
      <w:r>
        <w:rPr>
          <w:rFonts w:eastAsia="宋体"/>
          <w:sz w:val="24"/>
          <w:szCs w:val="24"/>
          <w:highlight w:val="none"/>
        </w:rPr>
        <w:t>1、按照《排污单位自行监测技术指南-总则》(HJ819-2017)要求，自主组织进行污染源监测，并做好记录。</w:t>
      </w:r>
    </w:p>
    <w:p>
      <w:pPr>
        <w:pStyle w:val="style0"/>
        <w:spacing w:lineRule="exact" w:line="460"/>
        <w:ind w:firstLine="480" w:firstLineChars="200"/>
        <w:rPr>
          <w:rFonts w:eastAsia="宋体" w:hint="eastAsia"/>
          <w:sz w:val="24"/>
          <w:szCs w:val="24"/>
          <w:highlight w:val="none"/>
        </w:rPr>
      </w:pPr>
      <w:r>
        <w:rPr>
          <w:rFonts w:eastAsia="宋体" w:hint="eastAsia"/>
          <w:sz w:val="24"/>
          <w:szCs w:val="24"/>
          <w:highlight w:val="none"/>
        </w:rPr>
        <w:t>2、尽快完成突发环境事件应急预案编制及备案工作。</w:t>
      </w:r>
    </w:p>
    <w:p>
      <w:pPr>
        <w:pStyle w:val="style0"/>
        <w:spacing w:lineRule="exact" w:line="460"/>
        <w:ind w:firstLine="480" w:firstLineChars="200"/>
        <w:rPr>
          <w:rFonts w:eastAsia="宋体"/>
          <w:sz w:val="24"/>
          <w:szCs w:val="24"/>
          <w:highlight w:val="none"/>
        </w:rPr>
      </w:pPr>
    </w:p>
    <w:p>
      <w:pPr>
        <w:pStyle w:val="style0"/>
        <w:spacing w:lineRule="exact" w:line="460"/>
        <w:ind w:firstLine="480" w:firstLineChars="200"/>
        <w:rPr>
          <w:rFonts w:eastAsia="宋体"/>
          <w:sz w:val="24"/>
          <w:szCs w:val="24"/>
          <w:highlight w:val="none"/>
        </w:rPr>
      </w:pPr>
    </w:p>
    <w:p>
      <w:pPr>
        <w:pStyle w:val="style0"/>
        <w:spacing w:lineRule="exact" w:line="460"/>
        <w:ind w:firstLine="480" w:firstLineChars="200"/>
        <w:jc w:val="right"/>
        <w:rPr>
          <w:rFonts w:eastAsia="宋体" w:hint="default"/>
          <w:b/>
          <w:bCs/>
          <w:sz w:val="24"/>
          <w:highlight w:val="none"/>
        </w:rPr>
      </w:pPr>
      <w:r>
        <w:rPr>
          <w:rFonts w:eastAsia="宋体" w:hint="default"/>
          <w:b/>
          <w:bCs/>
          <w:sz w:val="24"/>
          <w:highlight w:val="none"/>
        </w:rPr>
        <w:t>青岛利百农养殖有限公司</w:t>
      </w:r>
    </w:p>
    <w:p>
      <w:pPr>
        <w:pStyle w:val="style0"/>
        <w:spacing w:lineRule="exact" w:line="460"/>
        <w:ind w:firstLine="480" w:firstLineChars="200"/>
        <w:jc w:val="right"/>
        <w:rPr>
          <w:b/>
          <w:bCs/>
        </w:rPr>
      </w:pPr>
      <w:r>
        <w:rPr>
          <w:rFonts w:eastAsia="宋体" w:hint="default"/>
          <w:b/>
          <w:bCs/>
          <w:sz w:val="24"/>
          <w:highlight w:val="none"/>
        </w:rPr>
        <w:t>2020年11月07日</w:t>
      </w:r>
    </w:p>
    <w:p>
      <w:pPr>
        <w:pStyle w:val="style0"/>
        <w:spacing w:lineRule="exact" w:line="420"/>
        <w:rPr>
          <w:rFonts w:eastAsia="宋体"/>
          <w:b/>
          <w:bCs/>
          <w:sz w:val="36"/>
          <w:szCs w:val="36"/>
          <w:highlight w:val="none"/>
        </w:rPr>
      </w:pPr>
      <w:r>
        <w:rPr>
          <w:rFonts w:eastAsia="宋体"/>
          <w:b/>
          <w:bCs/>
          <w:sz w:val="32"/>
          <w:szCs w:val="32"/>
          <w:highlight w:val="none"/>
          <w:lang w:val="en-US"/>
        </w:rPr>
        <w:br w:type="page"/>
      </w:r>
      <w:r>
        <w:rPr>
          <w:rFonts w:eastAsia="宋体"/>
          <w:b/>
          <w:bCs/>
          <w:sz w:val="36"/>
          <w:szCs w:val="36"/>
          <w:highlight w:val="none"/>
          <w:lang w:val="en-US"/>
        </w:rPr>
        <w:t>附件：</w:t>
      </w:r>
    </w:p>
    <w:p>
      <w:pPr>
        <w:pStyle w:val="style0"/>
        <w:spacing w:lineRule="auto" w:line="276"/>
        <w:jc w:val="center"/>
        <w:rPr>
          <w:sz w:val="22"/>
          <w:szCs w:val="21"/>
        </w:rPr>
      </w:pPr>
      <w:r>
        <w:rPr>
          <w:rFonts w:eastAsia="宋体" w:hint="default"/>
          <w:b/>
          <w:sz w:val="36"/>
          <w:szCs w:val="21"/>
        </w:rPr>
        <w:t>青岛利百农养殖有限公司生猪养殖项目</w:t>
      </w:r>
    </w:p>
    <w:p>
      <w:pPr>
        <w:pStyle w:val="style0"/>
        <w:spacing w:lineRule="auto" w:line="276"/>
        <w:jc w:val="center"/>
        <w:rPr>
          <w:sz w:val="22"/>
          <w:szCs w:val="21"/>
        </w:rPr>
      </w:pPr>
      <w:r>
        <w:rPr>
          <w:rFonts w:eastAsia="宋体" w:hint="default"/>
          <w:b/>
          <w:sz w:val="36"/>
          <w:szCs w:val="21"/>
        </w:rPr>
        <w:t>竣工环境保护验收意见</w:t>
      </w:r>
    </w:p>
    <w:p>
      <w:pPr>
        <w:pStyle w:val="style0"/>
        <w:spacing w:lineRule="exact" w:line="420"/>
        <w:ind w:firstLine="480" w:firstLineChars="200"/>
        <w:rPr>
          <w:sz w:val="22"/>
          <w:szCs w:val="21"/>
          <w:highlight w:val="none"/>
        </w:rPr>
      </w:pPr>
    </w:p>
    <w:tbl>
      <w:tblPr>
        <w:jc w:val="center"/>
        <w:tblLayout w:type="fixed"/>
        <w:tblCellMar>
          <w:top w:w="0" w:type="dxa"/>
          <w:left w:w="51" w:type="dxa"/>
          <w:bottom w:w="0" w:type="dxa"/>
          <w:right w:w="51" w:type="dxa"/>
        </w:tblCellMar>
      </w:tblPr>
      <w:tblGrid>
        <w:gridCol w:w="608"/>
        <w:gridCol w:w="1163"/>
        <w:gridCol w:w="944"/>
        <w:gridCol w:w="2872"/>
        <w:gridCol w:w="894"/>
        <w:gridCol w:w="1800"/>
      </w:tblGrid>
      <w:tr>
        <w:trPr>
          <w:cantSplit w:val="false"/>
          <w:trHeight w:val="737" w:hRule="atLeast"/>
          <w:tblHeader w:val="false"/>
          <w:jc w:val="center"/>
        </w:trPr>
        <w:tc>
          <w:tcPr>
            <w:tcW w:w="1771" w:type="dxa"/>
            <w:gridSpan w:val="2"/>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2"/>
                <w:szCs w:val="21"/>
              </w:rPr>
            </w:pPr>
            <w:r>
              <w:rPr>
                <w:rFonts w:hint="default"/>
                <w:b/>
                <w:snapToGrid w:val="false"/>
                <w:kern w:val="0"/>
                <w:sz w:val="28"/>
                <w:szCs w:val="28"/>
                <w:highlight w:val="none"/>
              </w:rPr>
              <w:t>验收组</w:t>
            </w:r>
          </w:p>
        </w:tc>
        <w:tc>
          <w:tcPr>
            <w:tcW w:w="94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2"/>
                <w:szCs w:val="21"/>
              </w:rPr>
            </w:pPr>
            <w:r>
              <w:rPr>
                <w:rFonts w:hint="default"/>
                <w:b/>
                <w:snapToGrid w:val="false"/>
                <w:kern w:val="0"/>
                <w:sz w:val="28"/>
                <w:szCs w:val="28"/>
                <w:highlight w:val="none"/>
              </w:rPr>
              <w:t>姓  名</w:t>
            </w:r>
          </w:p>
        </w:tc>
        <w:tc>
          <w:tcPr>
            <w:tcW w:w="2872"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2"/>
                <w:szCs w:val="21"/>
              </w:rPr>
            </w:pPr>
            <w:r>
              <w:rPr>
                <w:rFonts w:hint="default"/>
                <w:b/>
                <w:snapToGrid w:val="false"/>
                <w:kern w:val="0"/>
                <w:sz w:val="28"/>
                <w:szCs w:val="28"/>
                <w:highlight w:val="none"/>
              </w:rPr>
              <w:t>单      位</w:t>
            </w:r>
          </w:p>
        </w:tc>
        <w:tc>
          <w:tcPr>
            <w:tcW w:w="89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2"/>
                <w:szCs w:val="21"/>
              </w:rPr>
            </w:pPr>
            <w:r>
              <w:rPr>
                <w:rFonts w:hint="default"/>
                <w:b/>
                <w:snapToGrid w:val="false"/>
                <w:kern w:val="0"/>
                <w:sz w:val="28"/>
                <w:szCs w:val="28"/>
                <w:highlight w:val="none"/>
              </w:rPr>
              <w:t>职务/</w:t>
            </w:r>
          </w:p>
          <w:p>
            <w:pPr>
              <w:pStyle w:val="style0"/>
              <w:snapToGrid w:val="false"/>
              <w:spacing w:before="120" w:beforeLines="50" w:lineRule="exact" w:line="-240"/>
              <w:jc w:val="center"/>
              <w:rPr>
                <w:sz w:val="22"/>
                <w:szCs w:val="21"/>
              </w:rPr>
            </w:pPr>
            <w:r>
              <w:rPr>
                <w:rFonts w:hint="default"/>
                <w:b/>
                <w:snapToGrid w:val="false"/>
                <w:kern w:val="0"/>
                <w:sz w:val="28"/>
                <w:szCs w:val="28"/>
                <w:highlight w:val="none"/>
              </w:rPr>
              <w:t>职称</w:t>
            </w:r>
          </w:p>
        </w:tc>
        <w:tc>
          <w:tcPr>
            <w:tcW w:w="1800"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2"/>
                <w:szCs w:val="21"/>
              </w:rPr>
            </w:pPr>
            <w:r>
              <w:rPr>
                <w:rFonts w:hint="default"/>
                <w:b/>
                <w:snapToGrid w:val="false"/>
                <w:kern w:val="0"/>
                <w:sz w:val="28"/>
                <w:szCs w:val="28"/>
                <w:highlight w:val="none"/>
              </w:rPr>
              <w:t>签  名</w:t>
            </w:r>
          </w:p>
        </w:tc>
      </w:tr>
      <w:tr>
        <w:tblPrEx/>
        <w:trPr>
          <w:cantSplit w:val="false"/>
          <w:trHeight w:val="1035" w:hRule="atLeast"/>
          <w:tblHeader w:val="false"/>
          <w:jc w:val="center"/>
        </w:trPr>
        <w:tc>
          <w:tcPr>
            <w:tcW w:w="608"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组长</w:t>
            </w:r>
          </w:p>
        </w:tc>
        <w:tc>
          <w:tcPr>
            <w:tcW w:w="1163"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建设单位</w:t>
            </w:r>
          </w:p>
        </w:tc>
        <w:tc>
          <w:tcPr>
            <w:tcW w:w="94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4"/>
                <w:szCs w:val="24"/>
              </w:rPr>
            </w:pPr>
            <w:r>
              <w:rPr>
                <w:sz w:val="24"/>
                <w:szCs w:val="24"/>
                <w:lang w:val="en-US"/>
              </w:rPr>
              <w:t>张新平</w:t>
            </w:r>
          </w:p>
        </w:tc>
        <w:tc>
          <w:tcPr>
            <w:tcW w:w="2872"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青岛利百农养殖有限公司</w:t>
            </w:r>
          </w:p>
        </w:tc>
        <w:tc>
          <w:tcPr>
            <w:tcW w:w="89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4"/>
                <w:szCs w:val="24"/>
              </w:rPr>
            </w:pPr>
            <w:r>
              <w:rPr>
                <w:sz w:val="24"/>
                <w:szCs w:val="24"/>
                <w:lang w:val="en-US"/>
              </w:rPr>
              <w:t>总经理</w:t>
            </w:r>
          </w:p>
        </w:tc>
        <w:tc>
          <w:tcPr>
            <w:tcW w:w="1800"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r>
      <w:tr>
        <w:tblPrEx/>
        <w:trPr>
          <w:cantSplit w:val="false"/>
          <w:trHeight w:val="1058" w:hRule="atLeast"/>
          <w:tblHeader w:val="false"/>
          <w:jc w:val="center"/>
        </w:trPr>
        <w:tc>
          <w:tcPr>
            <w:tcW w:w="608" w:type="dxa"/>
            <w:vMerge w:val="restart"/>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成员</w:t>
            </w:r>
          </w:p>
        </w:tc>
        <w:tc>
          <w:tcPr>
            <w:tcW w:w="1163"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验收报告编制单位</w:t>
            </w:r>
          </w:p>
        </w:tc>
        <w:tc>
          <w:tcPr>
            <w:tcW w:w="94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4"/>
                <w:szCs w:val="24"/>
              </w:rPr>
            </w:pPr>
            <w:r>
              <w:rPr>
                <w:sz w:val="24"/>
                <w:szCs w:val="24"/>
                <w:lang w:val="en-US"/>
              </w:rPr>
              <w:t>姜震</w:t>
            </w:r>
          </w:p>
        </w:tc>
        <w:tc>
          <w:tcPr>
            <w:tcW w:w="2872"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青岛利百农养殖有限公司</w:t>
            </w:r>
          </w:p>
        </w:tc>
        <w:tc>
          <w:tcPr>
            <w:tcW w:w="89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4"/>
                <w:szCs w:val="24"/>
                <w:lang w:val="en-US"/>
              </w:rPr>
            </w:pPr>
            <w:r>
              <w:rPr>
                <w:sz w:val="24"/>
                <w:szCs w:val="24"/>
                <w:lang w:val="en-US"/>
              </w:rPr>
              <w:t>生产</w:t>
            </w:r>
          </w:p>
          <w:p>
            <w:pPr>
              <w:pStyle w:val="style0"/>
              <w:snapToGrid w:val="false"/>
              <w:spacing w:before="120" w:beforeLines="50" w:lineRule="exact" w:line="-240"/>
              <w:jc w:val="center"/>
              <w:rPr>
                <w:sz w:val="24"/>
                <w:szCs w:val="24"/>
              </w:rPr>
            </w:pPr>
            <w:r>
              <w:rPr>
                <w:sz w:val="24"/>
                <w:szCs w:val="24"/>
                <w:lang w:val="en-US"/>
              </w:rPr>
              <w:t>厂长</w:t>
            </w:r>
          </w:p>
        </w:tc>
        <w:tc>
          <w:tcPr>
            <w:tcW w:w="1800"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r>
      <w:tr>
        <w:tblPrEx/>
        <w:trPr>
          <w:cantSplit w:val="false"/>
          <w:trHeight w:val="1041" w:hRule="atLeast"/>
          <w:tblHeader w:val="false"/>
          <w:jc w:val="center"/>
        </w:trPr>
        <w:tc>
          <w:tcPr>
            <w:tcW w:w="608" w:type="dxa"/>
            <w:vMerge w:val="continue"/>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c>
          <w:tcPr>
            <w:tcW w:w="1163"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监测单位</w:t>
            </w:r>
          </w:p>
        </w:tc>
        <w:tc>
          <w:tcPr>
            <w:tcW w:w="94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sz w:val="24"/>
                <w:szCs w:val="24"/>
              </w:rPr>
            </w:pPr>
            <w:r>
              <w:rPr>
                <w:sz w:val="24"/>
                <w:szCs w:val="24"/>
                <w:lang w:val="en-US"/>
              </w:rPr>
              <w:t>姜海洋</w:t>
            </w:r>
          </w:p>
        </w:tc>
        <w:tc>
          <w:tcPr>
            <w:tcW w:w="2872"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山东天智环境监测</w:t>
            </w:r>
          </w:p>
          <w:p>
            <w:pPr>
              <w:pStyle w:val="style0"/>
              <w:snapToGrid w:val="false"/>
              <w:spacing w:before="120" w:beforeLines="50" w:lineRule="exact" w:line="-240"/>
              <w:jc w:val="center"/>
              <w:rPr/>
            </w:pPr>
            <w:r>
              <w:rPr>
                <w:rFonts w:hint="default"/>
                <w:snapToGrid w:val="false"/>
                <w:kern w:val="0"/>
                <w:sz w:val="24"/>
                <w:szCs w:val="24"/>
                <w:highlight w:val="none"/>
              </w:rPr>
              <w:t>有限公司</w:t>
            </w:r>
          </w:p>
        </w:tc>
        <w:tc>
          <w:tcPr>
            <w:tcW w:w="89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工程师</w:t>
            </w:r>
          </w:p>
        </w:tc>
        <w:tc>
          <w:tcPr>
            <w:tcW w:w="1800"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r>
      <w:tr>
        <w:tblPrEx/>
        <w:trPr>
          <w:cantSplit w:val="false"/>
          <w:trHeight w:val="1001" w:hRule="atLeast"/>
          <w:tblHeader w:val="false"/>
          <w:jc w:val="center"/>
        </w:trPr>
        <w:tc>
          <w:tcPr>
            <w:tcW w:w="608" w:type="dxa"/>
            <w:vMerge w:val="continue"/>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c>
          <w:tcPr>
            <w:tcW w:w="1163" w:type="dxa"/>
            <w:vMerge w:val="restart"/>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专家</w:t>
            </w:r>
          </w:p>
        </w:tc>
        <w:tc>
          <w:tcPr>
            <w:tcW w:w="94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王</w:t>
            </w:r>
            <w:r>
              <w:rPr>
                <w:rFonts w:hint="default"/>
                <w:snapToGrid w:val="false"/>
                <w:kern w:val="0"/>
                <w:sz w:val="24"/>
                <w:szCs w:val="24"/>
                <w:highlight w:val="none"/>
              </w:rPr>
              <w:t xml:space="preserve"> </w:t>
            </w:r>
            <w:r>
              <w:rPr>
                <w:rFonts w:hint="default"/>
                <w:snapToGrid w:val="false"/>
                <w:kern w:val="0"/>
                <w:sz w:val="24"/>
                <w:szCs w:val="24"/>
                <w:highlight w:val="none"/>
              </w:rPr>
              <w:t>犇</w:t>
            </w:r>
          </w:p>
        </w:tc>
        <w:tc>
          <w:tcPr>
            <w:tcW w:w="2872"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青岛科技大学</w:t>
            </w:r>
          </w:p>
        </w:tc>
        <w:tc>
          <w:tcPr>
            <w:tcW w:w="89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教</w:t>
            </w:r>
            <w:r>
              <w:rPr>
                <w:rFonts w:hint="default"/>
                <w:snapToGrid w:val="false"/>
                <w:kern w:val="0"/>
                <w:sz w:val="24"/>
                <w:szCs w:val="24"/>
                <w:highlight w:val="none"/>
              </w:rPr>
              <w:t xml:space="preserve"> </w:t>
            </w:r>
            <w:r>
              <w:rPr>
                <w:rFonts w:hint="default"/>
                <w:snapToGrid w:val="false"/>
                <w:kern w:val="0"/>
                <w:sz w:val="24"/>
                <w:szCs w:val="24"/>
                <w:highlight w:val="none"/>
              </w:rPr>
              <w:t>授</w:t>
            </w:r>
          </w:p>
        </w:tc>
        <w:tc>
          <w:tcPr>
            <w:tcW w:w="1800"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r>
      <w:tr>
        <w:tblPrEx/>
        <w:trPr>
          <w:cantSplit w:val="false"/>
          <w:trHeight w:val="1056" w:hRule="atLeast"/>
          <w:tblHeader w:val="false"/>
          <w:jc w:val="center"/>
        </w:trPr>
        <w:tc>
          <w:tcPr>
            <w:tcW w:w="608" w:type="dxa"/>
            <w:vMerge w:val="continue"/>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c>
          <w:tcPr>
            <w:tcW w:w="1163" w:type="dxa"/>
            <w:vMerge w:val="continue"/>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c>
          <w:tcPr>
            <w:tcW w:w="94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谢洪波</w:t>
            </w:r>
          </w:p>
        </w:tc>
        <w:tc>
          <w:tcPr>
            <w:tcW w:w="2872"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青岛大学</w:t>
            </w:r>
          </w:p>
        </w:tc>
        <w:tc>
          <w:tcPr>
            <w:tcW w:w="894"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r>
              <w:rPr>
                <w:rFonts w:hint="default"/>
                <w:snapToGrid w:val="false"/>
                <w:kern w:val="0"/>
                <w:sz w:val="24"/>
                <w:szCs w:val="24"/>
                <w:highlight w:val="none"/>
              </w:rPr>
              <w:t>教</w:t>
            </w:r>
            <w:r>
              <w:rPr>
                <w:rFonts w:hint="default"/>
                <w:snapToGrid w:val="false"/>
                <w:kern w:val="0"/>
                <w:sz w:val="24"/>
                <w:szCs w:val="24"/>
                <w:highlight w:val="none"/>
              </w:rPr>
              <w:t xml:space="preserve"> </w:t>
            </w:r>
            <w:r>
              <w:rPr>
                <w:rFonts w:hint="default"/>
                <w:snapToGrid w:val="false"/>
                <w:kern w:val="0"/>
                <w:sz w:val="24"/>
                <w:szCs w:val="24"/>
                <w:highlight w:val="none"/>
              </w:rPr>
              <w:t>授</w:t>
            </w:r>
          </w:p>
        </w:tc>
        <w:tc>
          <w:tcPr>
            <w:tcW w:w="1800" w:type="dxa"/>
            <w:tcBorders>
              <w:top w:val="single" w:sz="4" w:space="0" w:color="auto"/>
              <w:left w:val="single" w:sz="4" w:space="0" w:color="auto"/>
              <w:bottom w:val="single" w:sz="4" w:space="0" w:color="auto"/>
              <w:right w:val="single" w:sz="4" w:space="0" w:color="auto"/>
            </w:tcBorders>
            <w:vAlign w:val="center"/>
          </w:tcPr>
          <w:p>
            <w:pPr>
              <w:pStyle w:val="style0"/>
              <w:snapToGrid w:val="false"/>
              <w:spacing w:before="120" w:beforeLines="50" w:lineRule="exact" w:line="-240"/>
              <w:jc w:val="center"/>
              <w:rPr/>
            </w:pPr>
          </w:p>
        </w:tc>
      </w:tr>
    </w:tbl>
    <w:p>
      <w:pPr>
        <w:pStyle w:val="style0"/>
        <w:spacing w:lineRule="auto" w:line="276"/>
        <w:ind w:firstLine="560" w:firstLineChars="200"/>
        <w:rPr/>
      </w:pPr>
    </w:p>
    <w:p>
      <w:pPr>
        <w:pStyle w:val="style0"/>
        <w:spacing w:lineRule="auto" w:line="276"/>
        <w:ind w:firstLine="480" w:firstLineChars="200"/>
        <w:jc w:val="right"/>
        <w:rPr>
          <w:rFonts w:eastAsia="宋体"/>
          <w:sz w:val="24"/>
        </w:rPr>
      </w:pPr>
      <w:r>
        <w:rPr>
          <w:rFonts w:eastAsia="宋体" w:hint="default"/>
          <w:sz w:val="24"/>
          <w:highlight w:val="none"/>
        </w:rPr>
        <w:t>2020年</w:t>
      </w:r>
      <w:r>
        <w:rPr>
          <w:rFonts w:eastAsia="宋体" w:hint="default"/>
          <w:sz w:val="24"/>
          <w:highlight w:val="none"/>
        </w:rPr>
        <w:t>11</w:t>
      </w:r>
      <w:r>
        <w:rPr>
          <w:rFonts w:eastAsia="宋体" w:hint="default"/>
          <w:sz w:val="24"/>
          <w:highlight w:val="none"/>
        </w:rPr>
        <w:t>月</w:t>
      </w:r>
      <w:r>
        <w:rPr>
          <w:rFonts w:eastAsia="宋体" w:hint="default"/>
          <w:sz w:val="24"/>
          <w:highlight w:val="none"/>
        </w:rPr>
        <w:t>07</w:t>
      </w:r>
      <w:r>
        <w:rPr>
          <w:rFonts w:eastAsia="宋体" w:hint="default"/>
          <w:sz w:val="24"/>
          <w:highlight w:val="none"/>
        </w:rPr>
        <w:t>日</w:t>
      </w:r>
    </w:p>
    <w:sectPr>
      <w:pgSz w:w="11906" w:h="16838" w:orient="portrait"/>
      <w:pgMar w:top="1440" w:right="1797" w:bottom="1440" w:left="1797" w:header="709" w:footer="709"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AFF" w:usb1="C0007841" w:usb2="00000009" w:usb3="00000000" w:csb0="000001FF" w:csb1="00000000"/>
  </w:font>
  <w:font w:name="Calibri">
    <w:altName w:val="Calibri"/>
    <w:panose1 w:val="020f0502020002030204"/>
    <w:charset w:val="00"/>
    <w:family w:val="swiss"/>
    <w:pitch w:val="variable"/>
    <w:sig w:usb0="E00002FF" w:usb1="4000ACFF" w:usb2="00000001" w:usb3="00000000" w:csb0="0000019F" w:csb1="00000000"/>
  </w:font>
  <w:font w:name="宋体">
    <w:altName w:val="SimSun"/>
    <w:panose1 w:val="02010600030001010101"/>
    <w:charset w:val="86"/>
    <w:family w:val="auto"/>
    <w:pitch w:val="variable"/>
    <w:sig w:usb0="00000003" w:usb1="288F0000" w:usb2="00000016" w:usb3="00000000" w:csb0="00040001"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F26B4C8"/>
    <w:lvl w:ilvl="0" w:tplc="9C7CA9A6">
      <w:start w:val="1"/>
      <w:numFmt w:val="japaneseCounting"/>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kern w:val="2"/>
        <w:sz w:val="21"/>
        <w:szCs w:val="22"/>
        <w:lang w:val="en-US" w:bidi="ar-SA" w:eastAsia="zh-CN"/>
      </w:rPr>
    </w:rPrDefault>
    <w:pPrDefault>
      <w:pPr/>
    </w:pPrDefault>
  </w:docDefaults>
  <w:style w:type="paragraph" w:default="1" w:styleId="style0">
    <w:name w:val="Normal"/>
    <w:next w:val="style0"/>
    <w:qFormat/>
    <w:pPr>
      <w:widowControl w:val="false"/>
      <w:jc w:val="both"/>
    </w:pPr>
    <w:rPr>
      <w:rFonts w:ascii="Times New Roman" w:cs="Times New Roman" w:eastAsia="宋体" w:hAnsi="Times New Roman"/>
      <w:szCs w:val="20"/>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pBdr>
        <w:bottom w:val="single" w:sz="6" w:space="1" w:color="auto"/>
      </w:pBdr>
      <w:tabs>
        <w:tab w:val="center" w:leader="none" w:pos="4153"/>
        <w:tab w:val="right" w:leader="none" w:pos="8306"/>
      </w:tabs>
      <w:snapToGrid w:val="false"/>
      <w:jc w:val="center"/>
    </w:pPr>
    <w:rPr>
      <w:rFonts w:ascii="Calibri" w:cs="宋体" w:eastAsia="宋体" w:hAnsi="Calibri"/>
      <w:sz w:val="18"/>
      <w:szCs w:val="18"/>
    </w:rPr>
  </w:style>
  <w:style w:type="character" w:customStyle="1" w:styleId="style4097">
    <w:name w:val="页眉 Char"/>
    <w:basedOn w:val="style65"/>
    <w:next w:val="style4097"/>
    <w:link w:val="style31"/>
    <w:uiPriority w:val="99"/>
    <w:rPr>
      <w:sz w:val="18"/>
      <w:szCs w:val="18"/>
    </w:rPr>
  </w:style>
  <w:style w:type="paragraph" w:styleId="style32">
    <w:name w:val="footer"/>
    <w:basedOn w:val="style0"/>
    <w:next w:val="style32"/>
    <w:link w:val="style4098"/>
    <w:uiPriority w:val="99"/>
    <w:pPr>
      <w:tabs>
        <w:tab w:val="center" w:leader="none" w:pos="4153"/>
        <w:tab w:val="right" w:leader="none" w:pos="8306"/>
      </w:tabs>
      <w:snapToGrid w:val="false"/>
      <w:jc w:val="left"/>
    </w:pPr>
    <w:rPr>
      <w:rFonts w:ascii="Calibri" w:cs="宋体" w:eastAsia="宋体" w:hAnsi="Calibri"/>
      <w:sz w:val="18"/>
      <w:szCs w:val="18"/>
    </w:rPr>
  </w:style>
  <w:style w:type="character" w:customStyle="1" w:styleId="style4098">
    <w:name w:val="页脚 Char"/>
    <w:basedOn w:val="style65"/>
    <w:next w:val="style4098"/>
    <w:link w:val="style32"/>
    <w:uiPriority w:val="99"/>
    <w:rPr>
      <w:sz w:val="18"/>
      <w:szCs w:val="18"/>
    </w:rPr>
  </w:style>
  <w:style w:type="paragraph" w:styleId="style179">
    <w:name w:val="List Paragraph"/>
    <w:basedOn w:val="style0"/>
    <w:next w:val="style179"/>
    <w:qFormat/>
    <w:uiPriority w:val="34"/>
    <w:pPr>
      <w:ind w:firstLine="420" w:firstLineChars="200"/>
    </w:pPr>
    <w:rPr/>
  </w:style>
  <w:style w:type="paragraph" w:styleId="style66">
    <w:name w:val="Body Text"/>
    <w:basedOn w:val="style0"/>
    <w:next w:val="style66"/>
    <w:link w:val="style4099"/>
    <w:uiPriority w:val="99"/>
    <w:pPr>
      <w:spacing w:after="120"/>
    </w:pPr>
    <w:rPr/>
  </w:style>
  <w:style w:type="character" w:customStyle="1" w:styleId="style4099">
    <w:name w:val="正文文本 Char"/>
    <w:basedOn w:val="style65"/>
    <w:next w:val="style4099"/>
    <w:link w:val="style66"/>
    <w:uiPriority w:val="99"/>
    <w:rPr>
      <w:rFonts w:ascii="Times New Roman" w:cs="Times New Roman" w:eastAsia="宋体" w:hAnsi="Times New Roman"/>
      <w:szCs w:val="20"/>
    </w:rPr>
  </w:style>
  <w:style w:type="paragraph" w:styleId="style77">
    <w:name w:val="Body Text First Indent"/>
    <w:basedOn w:val="style66"/>
    <w:next w:val="style77"/>
    <w:link w:val="style4100"/>
    <w:qFormat/>
    <w:uiPriority w:val="99"/>
    <w:pPr>
      <w:ind w:firstLine="420" w:firstLineChars="100"/>
    </w:pPr>
    <w:rPr>
      <w:szCs w:val="21"/>
    </w:rPr>
  </w:style>
  <w:style w:type="character" w:customStyle="1" w:styleId="style4100">
    <w:name w:val="正文首行缩进 Char"/>
    <w:basedOn w:val="style4099"/>
    <w:next w:val="style4100"/>
    <w:link w:val="style77"/>
    <w:uiPriority w:val="99"/>
    <w:rPr>
      <w:rFonts w:ascii="Times New Roman" w:cs="Times New Roman" w:eastAsia="宋体" w:hAnsi="Times New Roman"/>
      <w:szCs w:val="21"/>
    </w:rPr>
  </w:style>
  <w:style w:type="character" w:styleId="style39">
    <w:name w:val="annotation reference"/>
    <w:next w:val="style39"/>
    <w:qFormat/>
    <w:uiPriority w:val="99"/>
    <w:rPr>
      <w:sz w:val="21"/>
      <w:szCs w:val="21"/>
    </w:rPr>
  </w:style>
  <w:style w:type="paragraph" w:styleId="style30">
    <w:name w:val="annotation text"/>
    <w:basedOn w:val="style0"/>
    <w:next w:val="style30"/>
    <w:link w:val="style4101"/>
    <w:pPr>
      <w:jc w:val="left"/>
    </w:pPr>
    <w:rPr/>
  </w:style>
  <w:style w:type="character" w:customStyle="1" w:styleId="style4101">
    <w:name w:val="批注文字 Char"/>
    <w:basedOn w:val="style65"/>
    <w:next w:val="style4101"/>
    <w:link w:val="style30"/>
    <w:rPr>
      <w:rFonts w:ascii="Times New Roman" w:cs="Times New Roman" w:eastAsia="宋体" w:hAnsi="Times New Roman"/>
      <w:szCs w:val="20"/>
    </w:rPr>
  </w:style>
  <w:style w:type="paragraph" w:styleId="style153">
    <w:name w:val="Balloon Text"/>
    <w:basedOn w:val="style0"/>
    <w:next w:val="style153"/>
    <w:link w:val="style4102"/>
    <w:uiPriority w:val="99"/>
    <w:pPr/>
    <w:rPr>
      <w:sz w:val="18"/>
      <w:szCs w:val="18"/>
    </w:rPr>
  </w:style>
  <w:style w:type="character" w:customStyle="1" w:styleId="style4102">
    <w:name w:val="批注框文本 Char"/>
    <w:basedOn w:val="style65"/>
    <w:next w:val="style4102"/>
    <w:link w:val="style153"/>
    <w:uiPriority w:val="99"/>
    <w:rPr>
      <w:rFonts w:ascii="Times New Roman" w:cs="Times New Roman" w:eastAsia="宋体" w:hAnsi="Times New Roman"/>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Words>1971</Words>
  <Pages>4</Pages>
  <Characters>2132</Characters>
  <Application>WPS Office</Application>
  <DocSecurity>0</DocSecurity>
  <Paragraphs>97</Paragraphs>
  <ScaleCrop>false</ScaleCrop>
  <LinksUpToDate>false</LinksUpToDate>
  <CharactersWithSpaces>2149</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2020-01-08T14:14:00Z</dcterms:created>
  <dc:creator>Admin</dc:creator>
  <lastModifiedBy>RVL-AL09</lastModifiedBy>
  <dcterms:modified xsi:type="dcterms:W3CDTF">2020-11-07T00:22:51Z</dcterms:modified>
  <revision>44</revision>
</coreProperties>
</file>

<file path=docProps/custom.xml><?xml version="1.0" encoding="utf-8"?>
<Properties xmlns="http://schemas.openxmlformats.org/officeDocument/2006/custom-properties" xmlns:vt="http://schemas.openxmlformats.org/officeDocument/2006/docPropsVTypes"/>
</file>