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CB0E2C"/>
    <w:p w14:paraId="2F8AA439">
      <w:pPr>
        <w:jc w:val="center"/>
      </w:pPr>
      <w:r>
        <w:rPr>
          <w:b/>
          <w:sz w:val="36"/>
        </w:rPr>
        <w:t>第二章 采购需求</w:t>
      </w:r>
    </w:p>
    <w:p w14:paraId="7DE47C03">
      <w:r>
        <w:rPr>
          <w:b/>
          <w:sz w:val="28"/>
        </w:rPr>
        <w:t>一、项目概况：</w:t>
      </w:r>
    </w:p>
    <w:p w14:paraId="260EA733">
      <w:pPr>
        <w:ind w:firstLine="480"/>
        <w:jc w:val="both"/>
      </w:pPr>
      <w:r>
        <w:rPr>
          <w:b/>
          <w:sz w:val="21"/>
        </w:rPr>
        <w:t>特别说明</w:t>
      </w:r>
    </w:p>
    <w:p w14:paraId="7C3A43E9">
      <w:pPr>
        <w:ind w:firstLine="480"/>
        <w:jc w:val="both"/>
      </w:pPr>
      <w:r>
        <w:rPr>
          <w:sz w:val="21"/>
        </w:rPr>
        <w:t>《采购需求》中凡标注有“★”条款为实质性条款，供应商必须完全响应这些要求，若有一项未响应或不满足，评标委员会将对其响应文件作无效响应处理。</w:t>
      </w:r>
    </w:p>
    <w:p w14:paraId="583DA554">
      <w:pPr>
        <w:ind w:firstLine="480"/>
        <w:jc w:val="both"/>
      </w:pPr>
      <w:r>
        <w:rPr>
          <w:sz w:val="21"/>
        </w:rPr>
        <w:t>《采购需求》中凡标注有“▲”参数为重要条款，供应商需要逐条响应，如不满足要求将可能影响评分。</w:t>
      </w:r>
    </w:p>
    <w:p w14:paraId="56A26B99">
      <w:pPr>
        <w:ind w:firstLine="422" w:firstLineChars="200"/>
        <w:jc w:val="both"/>
      </w:pPr>
      <w:r>
        <w:rPr>
          <w:b/>
          <w:sz w:val="21"/>
        </w:rPr>
        <w:t>项目内容</w:t>
      </w:r>
    </w:p>
    <w:p w14:paraId="118A4B37">
      <w:pPr>
        <w:numPr>
          <w:ilvl w:val="0"/>
          <w:numId w:val="0"/>
        </w:numPr>
        <w:ind w:firstLine="420" w:firstLineChars="200"/>
        <w:jc w:val="both"/>
        <w:rPr>
          <w:rFonts w:hint="eastAsia"/>
          <w:sz w:val="21"/>
          <w:lang w:val="en-US" w:eastAsia="zh-CN"/>
        </w:rPr>
      </w:pPr>
      <w:r>
        <w:rPr>
          <w:rFonts w:hint="eastAsia"/>
          <w:sz w:val="21"/>
          <w:lang w:val="en-US" w:eastAsia="zh-CN"/>
        </w:rPr>
        <w:t>1.</w:t>
      </w:r>
      <w:r>
        <w:rPr>
          <w:sz w:val="21"/>
        </w:rPr>
        <w:t>项目编号：</w:t>
      </w:r>
      <w:r>
        <w:rPr>
          <w:rFonts w:hint="eastAsia"/>
          <w:sz w:val="21"/>
          <w:lang w:val="en-US" w:eastAsia="zh-CN"/>
        </w:rPr>
        <w:t xml:space="preserve"> </w:t>
      </w:r>
    </w:p>
    <w:p w14:paraId="6FFDC9AC">
      <w:pPr>
        <w:numPr>
          <w:ilvl w:val="0"/>
          <w:numId w:val="0"/>
        </w:numPr>
        <w:ind w:firstLine="420" w:firstLineChars="200"/>
        <w:jc w:val="both"/>
      </w:pPr>
      <w:r>
        <w:rPr>
          <w:sz w:val="21"/>
        </w:rPr>
        <w:t>2.项目名称：韶关市公安局武江分局202</w:t>
      </w:r>
      <w:r>
        <w:rPr>
          <w:rFonts w:hint="eastAsia"/>
          <w:sz w:val="21"/>
          <w:lang w:val="en-US" w:eastAsia="zh-CN"/>
        </w:rPr>
        <w:t>5</w:t>
      </w:r>
      <w:r>
        <w:rPr>
          <w:sz w:val="21"/>
        </w:rPr>
        <w:t>年至202</w:t>
      </w:r>
      <w:r>
        <w:rPr>
          <w:rFonts w:hint="eastAsia"/>
          <w:sz w:val="21"/>
          <w:lang w:val="en-US" w:eastAsia="zh-CN"/>
        </w:rPr>
        <w:t>7</w:t>
      </w:r>
      <w:r>
        <w:rPr>
          <w:sz w:val="21"/>
        </w:rPr>
        <w:t>年交通管理清障拯救服务</w:t>
      </w:r>
    </w:p>
    <w:p w14:paraId="32A41D70">
      <w:pPr>
        <w:ind w:firstLine="420"/>
        <w:jc w:val="both"/>
      </w:pPr>
      <w:r>
        <w:rPr>
          <w:sz w:val="21"/>
        </w:rPr>
        <w:t>3.采购方式：竞争性磋商</w:t>
      </w:r>
    </w:p>
    <w:p w14:paraId="7B11F5AD">
      <w:pPr>
        <w:ind w:firstLine="420"/>
        <w:jc w:val="both"/>
      </w:pPr>
      <w:r>
        <w:rPr>
          <w:sz w:val="21"/>
        </w:rPr>
        <w:t>4.预算金额：3,000,000.00元</w:t>
      </w:r>
    </w:p>
    <w:p w14:paraId="08F043D9">
      <w:pPr>
        <w:ind w:firstLine="420"/>
        <w:jc w:val="both"/>
      </w:pPr>
      <w:r>
        <w:rPr>
          <w:sz w:val="21"/>
        </w:rPr>
        <w:t>5.采购信息：</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22"/>
        <w:gridCol w:w="1926"/>
        <w:gridCol w:w="767"/>
        <w:gridCol w:w="1655"/>
        <w:gridCol w:w="3235"/>
      </w:tblGrid>
      <w:tr w14:paraId="115295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22" w:type="dxa"/>
            <w:tcBorders>
              <w:top w:val="single" w:color="000000" w:sz="4" w:space="0"/>
              <w:left w:val="single" w:color="000000" w:sz="4" w:space="0"/>
              <w:bottom w:val="single" w:color="000000" w:sz="4" w:space="0"/>
              <w:right w:val="single" w:color="000000" w:sz="4" w:space="0"/>
            </w:tcBorders>
            <w:vAlign w:val="top"/>
          </w:tcPr>
          <w:p w14:paraId="0B9E273E">
            <w:pPr>
              <w:jc w:val="center"/>
            </w:pPr>
            <w:r>
              <w:rPr>
                <w:b/>
                <w:sz w:val="21"/>
              </w:rPr>
              <w:t>序号</w:t>
            </w:r>
          </w:p>
        </w:tc>
        <w:tc>
          <w:tcPr>
            <w:tcW w:w="1926" w:type="dxa"/>
            <w:tcBorders>
              <w:top w:val="single" w:color="000000" w:sz="4" w:space="0"/>
              <w:left w:val="nil"/>
              <w:bottom w:val="single" w:color="000000" w:sz="4" w:space="0"/>
              <w:right w:val="single" w:color="000000" w:sz="4" w:space="0"/>
            </w:tcBorders>
            <w:vAlign w:val="top"/>
          </w:tcPr>
          <w:p w14:paraId="469B4617">
            <w:pPr>
              <w:jc w:val="center"/>
            </w:pPr>
            <w:r>
              <w:rPr>
                <w:b/>
                <w:sz w:val="21"/>
              </w:rPr>
              <w:t>采购标的</w:t>
            </w:r>
          </w:p>
        </w:tc>
        <w:tc>
          <w:tcPr>
            <w:tcW w:w="767" w:type="dxa"/>
            <w:tcBorders>
              <w:top w:val="single" w:color="000000" w:sz="4" w:space="0"/>
              <w:left w:val="nil"/>
              <w:bottom w:val="single" w:color="000000" w:sz="4" w:space="0"/>
              <w:right w:val="single" w:color="000000" w:sz="4" w:space="0"/>
            </w:tcBorders>
            <w:vAlign w:val="top"/>
          </w:tcPr>
          <w:p w14:paraId="6B71E0F9">
            <w:pPr>
              <w:jc w:val="center"/>
            </w:pPr>
            <w:r>
              <w:rPr>
                <w:b/>
                <w:sz w:val="21"/>
              </w:rPr>
              <w:t>数量</w:t>
            </w:r>
          </w:p>
        </w:tc>
        <w:tc>
          <w:tcPr>
            <w:tcW w:w="1655" w:type="dxa"/>
            <w:tcBorders>
              <w:top w:val="single" w:color="000000" w:sz="4" w:space="0"/>
              <w:left w:val="nil"/>
              <w:bottom w:val="single" w:color="000000" w:sz="4" w:space="0"/>
              <w:right w:val="single" w:color="000000" w:sz="4" w:space="0"/>
            </w:tcBorders>
            <w:vAlign w:val="top"/>
          </w:tcPr>
          <w:p w14:paraId="1AE6978B">
            <w:pPr>
              <w:jc w:val="center"/>
            </w:pPr>
            <w:r>
              <w:rPr>
                <w:b/>
                <w:sz w:val="21"/>
              </w:rPr>
              <w:t>最高限价（元）</w:t>
            </w:r>
          </w:p>
        </w:tc>
        <w:tc>
          <w:tcPr>
            <w:tcW w:w="3235" w:type="dxa"/>
            <w:tcBorders>
              <w:top w:val="single" w:color="000000" w:sz="4" w:space="0"/>
              <w:left w:val="nil"/>
              <w:bottom w:val="single" w:color="000000" w:sz="4" w:space="0"/>
              <w:right w:val="single" w:color="000000" w:sz="4" w:space="0"/>
            </w:tcBorders>
            <w:vAlign w:val="top"/>
          </w:tcPr>
          <w:p w14:paraId="022612C7">
            <w:pPr>
              <w:jc w:val="center"/>
            </w:pPr>
            <w:r>
              <w:rPr>
                <w:b/>
                <w:sz w:val="21"/>
              </w:rPr>
              <w:t>合同履行期限</w:t>
            </w:r>
          </w:p>
        </w:tc>
      </w:tr>
      <w:tr w14:paraId="40A4F9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22" w:type="dxa"/>
            <w:tcBorders>
              <w:top w:val="nil"/>
              <w:left w:val="single" w:color="000000" w:sz="4" w:space="0"/>
              <w:bottom w:val="single" w:color="000000" w:sz="4" w:space="0"/>
              <w:right w:val="single" w:color="000000" w:sz="4" w:space="0"/>
            </w:tcBorders>
            <w:vAlign w:val="top"/>
          </w:tcPr>
          <w:p w14:paraId="7BD24E1C">
            <w:pPr>
              <w:jc w:val="center"/>
            </w:pPr>
            <w:r>
              <w:rPr>
                <w:sz w:val="21"/>
              </w:rPr>
              <w:t>1</w:t>
            </w:r>
          </w:p>
        </w:tc>
        <w:tc>
          <w:tcPr>
            <w:tcW w:w="1926" w:type="dxa"/>
            <w:tcBorders>
              <w:top w:val="nil"/>
              <w:left w:val="nil"/>
              <w:bottom w:val="single" w:color="000000" w:sz="4" w:space="0"/>
              <w:right w:val="single" w:color="000000" w:sz="4" w:space="0"/>
            </w:tcBorders>
            <w:vAlign w:val="top"/>
          </w:tcPr>
          <w:p w14:paraId="4D82A08B">
            <w:pPr>
              <w:jc w:val="center"/>
            </w:pPr>
            <w:r>
              <w:rPr>
                <w:sz w:val="21"/>
              </w:rPr>
              <w:t>交通管理清障拯救服务</w:t>
            </w:r>
          </w:p>
        </w:tc>
        <w:tc>
          <w:tcPr>
            <w:tcW w:w="767" w:type="dxa"/>
            <w:tcBorders>
              <w:top w:val="nil"/>
              <w:left w:val="nil"/>
              <w:bottom w:val="single" w:color="000000" w:sz="4" w:space="0"/>
              <w:right w:val="single" w:color="000000" w:sz="4" w:space="0"/>
            </w:tcBorders>
            <w:vAlign w:val="top"/>
          </w:tcPr>
          <w:p w14:paraId="018050BD">
            <w:pPr>
              <w:jc w:val="center"/>
            </w:pPr>
            <w:r>
              <w:rPr>
                <w:sz w:val="21"/>
              </w:rPr>
              <w:t>1项</w:t>
            </w:r>
          </w:p>
        </w:tc>
        <w:tc>
          <w:tcPr>
            <w:tcW w:w="1655" w:type="dxa"/>
            <w:tcBorders>
              <w:top w:val="nil"/>
              <w:left w:val="nil"/>
              <w:bottom w:val="single" w:color="000000" w:sz="4" w:space="0"/>
              <w:right w:val="single" w:color="000000" w:sz="4" w:space="0"/>
            </w:tcBorders>
            <w:vAlign w:val="top"/>
          </w:tcPr>
          <w:p w14:paraId="7CE00D3F">
            <w:pPr>
              <w:jc w:val="center"/>
            </w:pPr>
            <w:r>
              <w:rPr>
                <w:sz w:val="21"/>
              </w:rPr>
              <w:t>3,000,000.00</w:t>
            </w:r>
          </w:p>
        </w:tc>
        <w:tc>
          <w:tcPr>
            <w:tcW w:w="3235" w:type="dxa"/>
            <w:tcBorders>
              <w:top w:val="nil"/>
              <w:left w:val="nil"/>
              <w:bottom w:val="single" w:color="000000" w:sz="4" w:space="0"/>
              <w:right w:val="single" w:color="000000" w:sz="4" w:space="0"/>
            </w:tcBorders>
            <w:vAlign w:val="top"/>
          </w:tcPr>
          <w:p w14:paraId="579DFFD6">
            <w:pPr>
              <w:jc w:val="center"/>
            </w:pPr>
            <w:r>
              <w:rPr>
                <w:sz w:val="21"/>
              </w:rPr>
              <w:t>202</w:t>
            </w:r>
            <w:r>
              <w:rPr>
                <w:rFonts w:hint="eastAsia"/>
                <w:sz w:val="21"/>
                <w:lang w:val="en-US" w:eastAsia="zh-CN"/>
              </w:rPr>
              <w:t>5</w:t>
            </w:r>
            <w:r>
              <w:rPr>
                <w:sz w:val="21"/>
              </w:rPr>
              <w:t>年10月1号至202</w:t>
            </w:r>
            <w:r>
              <w:rPr>
                <w:rFonts w:hint="eastAsia"/>
                <w:sz w:val="21"/>
                <w:lang w:val="en-US" w:eastAsia="zh-CN"/>
              </w:rPr>
              <w:t>7</w:t>
            </w:r>
            <w:r>
              <w:rPr>
                <w:sz w:val="21"/>
              </w:rPr>
              <w:t>年9月30号，两年的交通管理清障拯救服务</w:t>
            </w:r>
          </w:p>
        </w:tc>
      </w:tr>
    </w:tbl>
    <w:p w14:paraId="43F281FD">
      <w:pPr>
        <w:ind w:firstLine="211"/>
        <w:jc w:val="both"/>
      </w:pPr>
      <w:r>
        <w:rPr>
          <w:b/>
          <w:sz w:val="21"/>
        </w:rPr>
        <w:t>注：（1）响应报价应包括服务、各项税费及合同实施过程中不可预见一切费用等。</w:t>
      </w:r>
    </w:p>
    <w:p w14:paraId="02775625"/>
    <w:p w14:paraId="796C3ED4">
      <w:r>
        <w:t>采购包1（韶关市公安局武江分局202</w:t>
      </w:r>
      <w:r>
        <w:rPr>
          <w:rFonts w:hint="eastAsia"/>
          <w:lang w:val="en-US" w:eastAsia="zh-CN"/>
        </w:rPr>
        <w:t>5</w:t>
      </w:r>
      <w:r>
        <w:t>年至202</w:t>
      </w:r>
      <w:r>
        <w:rPr>
          <w:rFonts w:hint="eastAsia"/>
          <w:lang w:val="en-US" w:eastAsia="zh-CN"/>
        </w:rPr>
        <w:t>7</w:t>
      </w:r>
      <w:r>
        <w:t>年交通管理清障拯救服务）</w:t>
      </w:r>
    </w:p>
    <w:p w14:paraId="12B5ACFD">
      <w:r>
        <w:rPr>
          <w:b/>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2BFC35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32148F2">
            <w:r>
              <w:t>标的提供的时间</w:t>
            </w:r>
          </w:p>
        </w:tc>
        <w:tc>
          <w:tcPr>
            <w:tcW w:w="4153" w:type="dxa"/>
          </w:tcPr>
          <w:p w14:paraId="4A5C5261"/>
          <w:p w14:paraId="4C25B210">
            <w:r>
              <w:t>202</w:t>
            </w:r>
            <w:r>
              <w:rPr>
                <w:rFonts w:hint="eastAsia"/>
                <w:lang w:val="en-US" w:eastAsia="zh-CN"/>
              </w:rPr>
              <w:t>5</w:t>
            </w:r>
            <w:r>
              <w:t>年10月1号至202</w:t>
            </w:r>
            <w:r>
              <w:rPr>
                <w:rFonts w:hint="eastAsia"/>
                <w:lang w:val="en-US" w:eastAsia="zh-CN"/>
              </w:rPr>
              <w:t>7</w:t>
            </w:r>
            <w:r>
              <w:t>年9月30号，两年的交通管理清障拯救服务。</w:t>
            </w:r>
          </w:p>
        </w:tc>
      </w:tr>
      <w:tr w14:paraId="52CA9E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0AE248F">
            <w:r>
              <w:t>标的提供的地点</w:t>
            </w:r>
          </w:p>
        </w:tc>
        <w:tc>
          <w:tcPr>
            <w:tcW w:w="4153" w:type="dxa"/>
          </w:tcPr>
          <w:p w14:paraId="40E0A8F3"/>
          <w:p w14:paraId="7CA906C5">
            <w:r>
              <w:t>采购人指定地点</w:t>
            </w:r>
          </w:p>
        </w:tc>
      </w:tr>
      <w:tr w14:paraId="2F4C46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EA11522">
            <w:r>
              <w:t>付款方式</w:t>
            </w:r>
          </w:p>
        </w:tc>
        <w:tc>
          <w:tcPr>
            <w:tcW w:w="4153" w:type="dxa"/>
          </w:tcPr>
          <w:p w14:paraId="2E14BF45">
            <w:r>
              <w:t>1期：支付比例100%,1.本项目具体以实际发生费用结算。 2.交通违法车辆拖吊及车辆保管、交通事故车辆保管服务费用按月结算，成交供应商于每月10日前向采购人提出上月服务情况明细清单，经采购人审核通过之日起10个工作日内由采购人统一向韶关市武江区财政申请财政直接支付手续。 3.成交供应商应在采购人办理审核通过手续并接到相关通知后3个工作日内提供等额的正式发票给采购人，以便采购人及时办理支付手续，且收款方、出具发票方、合同乙方均必须与成交供应商名称一致； 4.因采购人使用的是财政资金，采购人在前款第 2、3点规定的付款时间为向政府采购支付部门提出办理财政支付申请手续的时间(不含政府财政支付部门审核的时间)在规定时间内提出支付申请手续后即视为采购人已经按期支付。 5.超过法律规定</w:t>
            </w:r>
            <w:r>
              <w:rPr>
                <w:rFonts w:hint="eastAsia"/>
                <w:lang w:eastAsia="zh-CN"/>
              </w:rPr>
              <w:t>时间</w:t>
            </w:r>
            <w:r>
              <w:t>外的交通违法车辆、交通事故车辆的保管服务费用原则上由车辆事主支付，若事故车辆在停车保管服务期间无人认领，导致车辆进入报废处理阶段(三个月的公示期后，成交供应商可以在公示期过后三个工作日内向采购人提交报废车辆报废清单，经采购人审核通过之日起 10个工作日内由采购人统一向区财政申请财政直接支付手续</w:t>
            </w:r>
            <w:r>
              <w:rPr>
                <w:rFonts w:hint="eastAsia"/>
                <w:lang w:eastAsia="zh-CN"/>
              </w:rPr>
              <w:t>）</w:t>
            </w:r>
            <w:bookmarkStart w:id="0" w:name="_GoBack"/>
            <w:bookmarkEnd w:id="0"/>
            <w:r>
              <w:t>。</w:t>
            </w:r>
          </w:p>
        </w:tc>
      </w:tr>
      <w:tr w14:paraId="18E101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385B629">
            <w:r>
              <w:t>验收要求</w:t>
            </w:r>
          </w:p>
        </w:tc>
        <w:tc>
          <w:tcPr>
            <w:tcW w:w="4153" w:type="dxa"/>
          </w:tcPr>
          <w:p w14:paraId="11D8DE8E">
            <w:r>
              <w:t>1期：按国家标准和行业规范及招标文件、采购合同规定进行验收。</w:t>
            </w:r>
          </w:p>
        </w:tc>
      </w:tr>
      <w:tr w14:paraId="28CB14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689E060">
            <w:r>
              <w:t>履约保证金</w:t>
            </w:r>
          </w:p>
        </w:tc>
        <w:tc>
          <w:tcPr>
            <w:tcW w:w="4153" w:type="dxa"/>
          </w:tcPr>
          <w:p w14:paraId="259DC808">
            <w:r>
              <w:t>不收取</w:t>
            </w:r>
          </w:p>
        </w:tc>
      </w:tr>
      <w:tr w14:paraId="05822B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377662D">
            <w:r>
              <w:t>其他</w:t>
            </w:r>
          </w:p>
        </w:tc>
        <w:tc>
          <w:tcPr>
            <w:tcW w:w="4153" w:type="dxa"/>
          </w:tcPr>
          <w:p w14:paraId="7C19B00E">
            <w:r>
              <w:t>报价要求，1.投标人投标报价采用投报“下浮率（%）”的方式，保留两位小数填写。下浮后的金额四舍五入保留小数点后两位。《普通公路、城市道路交通违法车辆拖车服务收费标准》、《普通公路、城市道路事故车辆拖车服务收费标准》、《交通违法、事故车辆停放保管服务收费标准》、《普通公路、城市道路事故车辆清障（路面清理）服务收费标准》均按所投报的下浮率统一计算收费。2.实际收费：（《普通公路、城市道路交通违法车辆拖车服务收费标准》、《普通公路、城市道路事故车辆拖车服务收费标准》、《交通违法、事故车辆停放保管服务收费标准》、《普通公路、城市道路事故车辆清障（路面清理）服务收费标准》）均为按上述4个表格的收费标准下浮后计算，即实际服务收费＝上述收费标准×（1-投标下浮率）。  3.其中停车保管服务的收费，采购人只支付法律规定的时间内所产生的费用。  4.供应商响应时应按照统一的整体下浮率进行报价，不得报出多个下浮率，也不得进行分项报价。</w:t>
            </w:r>
          </w:p>
        </w:tc>
      </w:tr>
    </w:tbl>
    <w:p w14:paraId="361C3271">
      <w:r>
        <w:rPr>
          <w:b/>
        </w:rPr>
        <w:t>2.技术标准与要求</w:t>
      </w:r>
    </w:p>
    <w:p w14:paraId="151617FE"/>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17"/>
        <w:gridCol w:w="717"/>
        <w:gridCol w:w="717"/>
        <w:gridCol w:w="717"/>
        <w:gridCol w:w="763"/>
        <w:gridCol w:w="1332"/>
        <w:gridCol w:w="1332"/>
        <w:gridCol w:w="793"/>
        <w:gridCol w:w="717"/>
        <w:gridCol w:w="717"/>
      </w:tblGrid>
      <w:tr w14:paraId="6CD6D8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2BD0385">
            <w:pPr>
              <w:jc w:val="center"/>
            </w:pPr>
            <w:r>
              <w:t>序号</w:t>
            </w:r>
          </w:p>
        </w:tc>
        <w:tc>
          <w:tcPr>
            <w:tcW w:w="831" w:type="dxa"/>
          </w:tcPr>
          <w:p w14:paraId="48AD29AD">
            <w:pPr>
              <w:jc w:val="center"/>
            </w:pPr>
            <w:r>
              <w:t>品目名称</w:t>
            </w:r>
          </w:p>
        </w:tc>
        <w:tc>
          <w:tcPr>
            <w:tcW w:w="831" w:type="dxa"/>
          </w:tcPr>
          <w:p w14:paraId="58ABBA19">
            <w:pPr>
              <w:jc w:val="center"/>
            </w:pPr>
            <w:r>
              <w:t>标的名称</w:t>
            </w:r>
          </w:p>
        </w:tc>
        <w:tc>
          <w:tcPr>
            <w:tcW w:w="831" w:type="dxa"/>
          </w:tcPr>
          <w:p w14:paraId="3580F1D5">
            <w:pPr>
              <w:jc w:val="center"/>
            </w:pPr>
            <w:r>
              <w:t>单位</w:t>
            </w:r>
          </w:p>
        </w:tc>
        <w:tc>
          <w:tcPr>
            <w:tcW w:w="831" w:type="dxa"/>
          </w:tcPr>
          <w:p w14:paraId="2B1711B5">
            <w:pPr>
              <w:jc w:val="center"/>
            </w:pPr>
            <w:r>
              <w:t>数量</w:t>
            </w:r>
          </w:p>
        </w:tc>
        <w:tc>
          <w:tcPr>
            <w:tcW w:w="831" w:type="dxa"/>
          </w:tcPr>
          <w:p w14:paraId="31E05BE1">
            <w:pPr>
              <w:jc w:val="center"/>
            </w:pPr>
            <w:r>
              <w:t>分项预算单价（元）</w:t>
            </w:r>
          </w:p>
        </w:tc>
        <w:tc>
          <w:tcPr>
            <w:tcW w:w="831" w:type="dxa"/>
          </w:tcPr>
          <w:p w14:paraId="72377789">
            <w:pPr>
              <w:jc w:val="center"/>
            </w:pPr>
            <w:r>
              <w:t>分项预算总价（元）</w:t>
            </w:r>
          </w:p>
        </w:tc>
        <w:tc>
          <w:tcPr>
            <w:tcW w:w="831" w:type="dxa"/>
          </w:tcPr>
          <w:p w14:paraId="37392DAE">
            <w:pPr>
              <w:jc w:val="center"/>
            </w:pPr>
            <w:r>
              <w:t>权重%</w:t>
            </w:r>
          </w:p>
        </w:tc>
        <w:tc>
          <w:tcPr>
            <w:tcW w:w="831" w:type="dxa"/>
          </w:tcPr>
          <w:p w14:paraId="0FC42E2A">
            <w:r>
              <w:t>所属行业</w:t>
            </w:r>
          </w:p>
        </w:tc>
        <w:tc>
          <w:tcPr>
            <w:tcW w:w="831" w:type="dxa"/>
          </w:tcPr>
          <w:p w14:paraId="1CFD5FB7">
            <w:pPr>
              <w:jc w:val="center"/>
            </w:pPr>
            <w:r>
              <w:t>技术要求</w:t>
            </w:r>
          </w:p>
        </w:tc>
      </w:tr>
      <w:tr w14:paraId="3B0DA4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C04F4AE">
            <w:pPr>
              <w:jc w:val="center"/>
            </w:pPr>
            <w:r>
              <w:t>1</w:t>
            </w:r>
          </w:p>
        </w:tc>
        <w:tc>
          <w:tcPr>
            <w:tcW w:w="831" w:type="dxa"/>
          </w:tcPr>
          <w:p w14:paraId="00A9AB8B">
            <w:pPr>
              <w:jc w:val="left"/>
            </w:pPr>
            <w:r>
              <w:t>其他服务</w:t>
            </w:r>
          </w:p>
        </w:tc>
        <w:tc>
          <w:tcPr>
            <w:tcW w:w="831" w:type="dxa"/>
          </w:tcPr>
          <w:p w14:paraId="54B7A53D">
            <w:pPr>
              <w:jc w:val="left"/>
            </w:pPr>
            <w:r>
              <w:t>交通管理清障拯救服务</w:t>
            </w:r>
          </w:p>
        </w:tc>
        <w:tc>
          <w:tcPr>
            <w:tcW w:w="831" w:type="dxa"/>
          </w:tcPr>
          <w:p w14:paraId="1BFB9925">
            <w:pPr>
              <w:jc w:val="left"/>
            </w:pPr>
            <w:r>
              <w:t>项</w:t>
            </w:r>
          </w:p>
        </w:tc>
        <w:tc>
          <w:tcPr>
            <w:tcW w:w="831" w:type="dxa"/>
          </w:tcPr>
          <w:p w14:paraId="2DEF9B22">
            <w:pPr>
              <w:jc w:val="right"/>
            </w:pPr>
            <w:r>
              <w:t>1.00</w:t>
            </w:r>
          </w:p>
        </w:tc>
        <w:tc>
          <w:tcPr>
            <w:tcW w:w="831" w:type="dxa"/>
          </w:tcPr>
          <w:p w14:paraId="1293C3D1">
            <w:pPr>
              <w:jc w:val="right"/>
            </w:pPr>
            <w:r>
              <w:t>3,000,000.00</w:t>
            </w:r>
          </w:p>
        </w:tc>
        <w:tc>
          <w:tcPr>
            <w:tcW w:w="831" w:type="dxa"/>
          </w:tcPr>
          <w:p w14:paraId="3B1980D2">
            <w:pPr>
              <w:jc w:val="right"/>
            </w:pPr>
            <w:r>
              <w:t>3,000,000.00</w:t>
            </w:r>
          </w:p>
        </w:tc>
        <w:tc>
          <w:tcPr>
            <w:tcW w:w="831" w:type="dxa"/>
          </w:tcPr>
          <w:p w14:paraId="36F66D1C">
            <w:r>
              <w:t>100.0</w:t>
            </w:r>
          </w:p>
        </w:tc>
        <w:tc>
          <w:tcPr>
            <w:tcW w:w="831" w:type="dxa"/>
          </w:tcPr>
          <w:p w14:paraId="693A2AF5">
            <w:r>
              <w:t>交通运输业</w:t>
            </w:r>
          </w:p>
        </w:tc>
        <w:tc>
          <w:tcPr>
            <w:tcW w:w="831" w:type="dxa"/>
          </w:tcPr>
          <w:p w14:paraId="34406430"/>
        </w:tc>
      </w:tr>
    </w:tbl>
    <w:p w14:paraId="7E208D40">
      <w:r>
        <w:t>备注：最终综合总报价=（各产品报价×各项产品权重）的相加值</w:t>
      </w:r>
    </w:p>
    <w:p w14:paraId="4FDA9441"/>
    <w:p w14:paraId="556863B7">
      <w:r>
        <w:rPr>
          <w:b/>
        </w:rPr>
        <w:t>附表一：交通管理清障拯救服务</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26"/>
        <w:gridCol w:w="5814"/>
      </w:tblGrid>
      <w:tr w14:paraId="3E1491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C48D1E2">
            <w:r>
              <w:t>参数性质</w:t>
            </w:r>
          </w:p>
        </w:tc>
        <w:tc>
          <w:tcPr>
            <w:tcW w:w="415" w:type="dxa"/>
          </w:tcPr>
          <w:p w14:paraId="58F28C72">
            <w:r>
              <w:t>序号</w:t>
            </w:r>
          </w:p>
        </w:tc>
        <w:tc>
          <w:tcPr>
            <w:tcW w:w="5814" w:type="dxa"/>
          </w:tcPr>
          <w:p w14:paraId="1A835AF8">
            <w:r>
              <w:t>具体技术(参数)要求</w:t>
            </w:r>
          </w:p>
        </w:tc>
      </w:tr>
      <w:tr w14:paraId="4DAC4A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5174EE3"/>
        </w:tc>
        <w:tc>
          <w:tcPr>
            <w:tcW w:w="415" w:type="dxa"/>
          </w:tcPr>
          <w:p w14:paraId="47D706D4">
            <w:r>
              <w:t>1</w:t>
            </w:r>
          </w:p>
        </w:tc>
        <w:tc>
          <w:tcPr>
            <w:tcW w:w="5814" w:type="dxa"/>
          </w:tcPr>
          <w:p w14:paraId="5A81FC5D">
            <w:pPr>
              <w:jc w:val="center"/>
            </w:pPr>
            <w:r>
              <w:rPr>
                <w:b/>
                <w:sz w:val="21"/>
              </w:rPr>
              <w:t>普通公路、城市道路交通违法车辆拖车服务收费标准</w:t>
            </w:r>
          </w:p>
          <w:tbl>
            <w:tblPr>
              <w:tblStyle w:val="2"/>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75"/>
              <w:gridCol w:w="931"/>
              <w:gridCol w:w="1181"/>
              <w:gridCol w:w="982"/>
              <w:gridCol w:w="963"/>
              <w:gridCol w:w="541"/>
            </w:tblGrid>
            <w:tr w14:paraId="32B78D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896" w:type="dxa"/>
                  <w:vMerge w:val="restart"/>
                  <w:tcBorders>
                    <w:top w:val="single" w:color="000000" w:sz="4" w:space="0"/>
                    <w:left w:val="single" w:color="000000" w:sz="4" w:space="0"/>
                    <w:bottom w:val="single" w:color="000000" w:sz="4" w:space="0"/>
                    <w:right w:val="single" w:color="000000" w:sz="4" w:space="0"/>
                  </w:tcBorders>
                  <w:vAlign w:val="top"/>
                </w:tcPr>
                <w:p w14:paraId="2C2509CC">
                  <w:pPr>
                    <w:jc w:val="center"/>
                  </w:pPr>
                  <w:r>
                    <w:rPr>
                      <w:b/>
                      <w:sz w:val="21"/>
                    </w:rPr>
                    <w:t>项目</w:t>
                  </w:r>
                </w:p>
                <w:p w14:paraId="41BBA007">
                  <w:pPr>
                    <w:jc w:val="center"/>
                  </w:pPr>
                  <w:r>
                    <w:rPr>
                      <w:b/>
                      <w:sz w:val="21"/>
                    </w:rPr>
                    <w:t>内容</w:t>
                  </w:r>
                </w:p>
              </w:tc>
              <w:tc>
                <w:tcPr>
                  <w:tcW w:w="952" w:type="dxa"/>
                  <w:vMerge w:val="restart"/>
                  <w:tcBorders>
                    <w:top w:val="single" w:color="000000" w:sz="4" w:space="0"/>
                    <w:left w:val="nil"/>
                    <w:bottom w:val="single" w:color="000000" w:sz="4" w:space="0"/>
                    <w:right w:val="single" w:color="000000" w:sz="4" w:space="0"/>
                  </w:tcBorders>
                  <w:vAlign w:val="top"/>
                </w:tcPr>
                <w:p w14:paraId="07CE20B7">
                  <w:pPr>
                    <w:jc w:val="center"/>
                  </w:pPr>
                  <w:r>
                    <w:rPr>
                      <w:b/>
                      <w:sz w:val="21"/>
                    </w:rPr>
                    <w:t>计算单位</w:t>
                  </w:r>
                </w:p>
              </w:tc>
              <w:tc>
                <w:tcPr>
                  <w:tcW w:w="3198" w:type="dxa"/>
                  <w:gridSpan w:val="3"/>
                  <w:tcBorders>
                    <w:top w:val="single" w:color="000000" w:sz="4" w:space="0"/>
                    <w:left w:val="nil"/>
                    <w:bottom w:val="single" w:color="000000" w:sz="4" w:space="0"/>
                    <w:right w:val="single" w:color="000000" w:sz="4" w:space="0"/>
                  </w:tcBorders>
                  <w:vAlign w:val="top"/>
                </w:tcPr>
                <w:p w14:paraId="5E484CB5">
                  <w:pPr>
                    <w:jc w:val="center"/>
                  </w:pPr>
                  <w:r>
                    <w:rPr>
                      <w:b/>
                      <w:sz w:val="21"/>
                    </w:rPr>
                    <w:t>收费</w:t>
                  </w:r>
                </w:p>
              </w:tc>
              <w:tc>
                <w:tcPr>
                  <w:tcW w:w="551" w:type="dxa"/>
                  <w:tcBorders>
                    <w:top w:val="single" w:color="000000" w:sz="4" w:space="0"/>
                    <w:left w:val="nil"/>
                    <w:bottom w:val="single" w:color="000000" w:sz="4" w:space="0"/>
                    <w:right w:val="single" w:color="000000" w:sz="4" w:space="0"/>
                  </w:tcBorders>
                  <w:vAlign w:val="top"/>
                </w:tcPr>
                <w:p w14:paraId="4312718F">
                  <w:pPr>
                    <w:jc w:val="center"/>
                  </w:pPr>
                  <w:r>
                    <w:rPr>
                      <w:b/>
                      <w:sz w:val="21"/>
                    </w:rPr>
                    <w:t>备注</w:t>
                  </w:r>
                </w:p>
              </w:tc>
            </w:tr>
            <w:tr w14:paraId="48E851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6" w:type="dxa"/>
                  <w:vMerge w:val="continue"/>
                  <w:tcBorders>
                    <w:top w:val="single" w:color="000000" w:sz="4" w:space="0"/>
                    <w:left w:val="single" w:color="000000" w:sz="4" w:space="0"/>
                    <w:bottom w:val="single" w:color="000000" w:sz="4" w:space="0"/>
                    <w:right w:val="single" w:color="000000" w:sz="4" w:space="0"/>
                  </w:tcBorders>
                </w:tcPr>
                <w:p w14:paraId="3A975C26"/>
              </w:tc>
              <w:tc>
                <w:tcPr>
                  <w:tcW w:w="952" w:type="dxa"/>
                  <w:vMerge w:val="continue"/>
                  <w:tcBorders>
                    <w:top w:val="single" w:color="000000" w:sz="4" w:space="0"/>
                    <w:left w:val="nil"/>
                    <w:bottom w:val="single" w:color="000000" w:sz="4" w:space="0"/>
                    <w:right w:val="single" w:color="000000" w:sz="4" w:space="0"/>
                  </w:tcBorders>
                </w:tcPr>
                <w:p w14:paraId="01C012CF"/>
              </w:tc>
              <w:tc>
                <w:tcPr>
                  <w:tcW w:w="1205" w:type="dxa"/>
                  <w:tcBorders>
                    <w:top w:val="nil"/>
                    <w:left w:val="nil"/>
                    <w:bottom w:val="single" w:color="000000" w:sz="4" w:space="0"/>
                    <w:right w:val="single" w:color="000000" w:sz="4" w:space="0"/>
                  </w:tcBorders>
                  <w:vAlign w:val="top"/>
                </w:tcPr>
                <w:p w14:paraId="01E6F3FB">
                  <w:pPr>
                    <w:jc w:val="center"/>
                  </w:pPr>
                  <w:r>
                    <w:rPr>
                      <w:b/>
                      <w:sz w:val="21"/>
                    </w:rPr>
                    <w:t>基价</w:t>
                  </w:r>
                </w:p>
                <w:p w14:paraId="342C05C5">
                  <w:pPr>
                    <w:jc w:val="center"/>
                  </w:pPr>
                  <w:r>
                    <w:rPr>
                      <w:b/>
                      <w:sz w:val="21"/>
                    </w:rPr>
                    <w:t>（元/车·次）</w:t>
                  </w:r>
                </w:p>
              </w:tc>
              <w:tc>
                <w:tcPr>
                  <w:tcW w:w="1007" w:type="dxa"/>
                  <w:tcBorders>
                    <w:top w:val="nil"/>
                    <w:left w:val="nil"/>
                    <w:bottom w:val="single" w:color="000000" w:sz="4" w:space="0"/>
                    <w:right w:val="single" w:color="000000" w:sz="4" w:space="0"/>
                  </w:tcBorders>
                  <w:vAlign w:val="top"/>
                </w:tcPr>
                <w:p w14:paraId="32FD903E">
                  <w:pPr>
                    <w:jc w:val="center"/>
                  </w:pPr>
                  <w:r>
                    <w:rPr>
                      <w:b/>
                      <w:sz w:val="21"/>
                    </w:rPr>
                    <w:t>10公里以上35公里以内加收费用（元/车·公里）</w:t>
                  </w:r>
                </w:p>
              </w:tc>
              <w:tc>
                <w:tcPr>
                  <w:tcW w:w="986" w:type="dxa"/>
                  <w:tcBorders>
                    <w:top w:val="single" w:color="000000" w:sz="4" w:space="0"/>
                    <w:left w:val="nil"/>
                    <w:bottom w:val="single" w:color="000000" w:sz="4" w:space="0"/>
                    <w:right w:val="single" w:color="000000" w:sz="4" w:space="0"/>
                  </w:tcBorders>
                  <w:vAlign w:val="top"/>
                </w:tcPr>
                <w:p w14:paraId="7578EBFA">
                  <w:pPr>
                    <w:jc w:val="center"/>
                  </w:pPr>
                  <w:r>
                    <w:rPr>
                      <w:b/>
                      <w:sz w:val="21"/>
                    </w:rPr>
                    <w:t>35公里以上加收费用（元/车·公里）</w:t>
                  </w:r>
                </w:p>
              </w:tc>
              <w:tc>
                <w:tcPr>
                  <w:tcW w:w="551" w:type="dxa"/>
                  <w:vMerge w:val="restart"/>
                  <w:tcBorders>
                    <w:top w:val="single" w:color="000000" w:sz="4" w:space="0"/>
                    <w:left w:val="nil"/>
                    <w:bottom w:val="nil"/>
                    <w:right w:val="single" w:color="000000" w:sz="4" w:space="0"/>
                  </w:tcBorders>
                  <w:vAlign w:val="top"/>
                </w:tcPr>
                <w:p w14:paraId="43E6B82D">
                  <w:pPr>
                    <w:jc w:val="center"/>
                  </w:pPr>
                  <w:r>
                    <w:rPr>
                      <w:sz w:val="24"/>
                    </w:rPr>
                    <w:t>/</w:t>
                  </w:r>
                </w:p>
              </w:tc>
            </w:tr>
            <w:tr w14:paraId="0F4A16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2934BB4F">
                  <w:pPr>
                    <w:jc w:val="center"/>
                  </w:pPr>
                  <w:r>
                    <w:rPr>
                      <w:sz w:val="21"/>
                    </w:rPr>
                    <w:t>自行车</w:t>
                  </w:r>
                </w:p>
              </w:tc>
              <w:tc>
                <w:tcPr>
                  <w:tcW w:w="952" w:type="dxa"/>
                  <w:tcBorders>
                    <w:top w:val="nil"/>
                    <w:left w:val="nil"/>
                    <w:bottom w:val="single" w:color="000000" w:sz="4" w:space="0"/>
                    <w:right w:val="single" w:color="000000" w:sz="4" w:space="0"/>
                  </w:tcBorders>
                  <w:vAlign w:val="top"/>
                </w:tcPr>
                <w:p w14:paraId="58808153">
                  <w:pPr>
                    <w:jc w:val="center"/>
                  </w:pPr>
                  <w:r>
                    <w:rPr>
                      <w:sz w:val="21"/>
                    </w:rPr>
                    <w:t>元/车·次</w:t>
                  </w:r>
                </w:p>
              </w:tc>
              <w:tc>
                <w:tcPr>
                  <w:tcW w:w="1205" w:type="dxa"/>
                  <w:tcBorders>
                    <w:top w:val="nil"/>
                    <w:left w:val="nil"/>
                    <w:bottom w:val="single" w:color="000000" w:sz="4" w:space="0"/>
                    <w:right w:val="single" w:color="000000" w:sz="4" w:space="0"/>
                  </w:tcBorders>
                  <w:vAlign w:val="top"/>
                </w:tcPr>
                <w:p w14:paraId="3230AF34">
                  <w:pPr>
                    <w:jc w:val="center"/>
                  </w:pPr>
                  <w:r>
                    <w:rPr>
                      <w:sz w:val="21"/>
                    </w:rPr>
                    <w:t>50</w:t>
                  </w:r>
                </w:p>
              </w:tc>
              <w:tc>
                <w:tcPr>
                  <w:tcW w:w="1007" w:type="dxa"/>
                  <w:tcBorders>
                    <w:top w:val="nil"/>
                    <w:left w:val="nil"/>
                    <w:bottom w:val="single" w:color="000000" w:sz="4" w:space="0"/>
                    <w:right w:val="single" w:color="000000" w:sz="4" w:space="0"/>
                  </w:tcBorders>
                  <w:vAlign w:val="top"/>
                </w:tcPr>
                <w:p w14:paraId="51AF6BB2">
                  <w:pPr>
                    <w:jc w:val="center"/>
                  </w:pPr>
                  <w:r>
                    <w:rPr>
                      <w:sz w:val="21"/>
                    </w:rPr>
                    <w:t>2</w:t>
                  </w:r>
                </w:p>
              </w:tc>
              <w:tc>
                <w:tcPr>
                  <w:tcW w:w="986" w:type="dxa"/>
                  <w:tcBorders>
                    <w:top w:val="nil"/>
                    <w:left w:val="nil"/>
                    <w:bottom w:val="single" w:color="000000" w:sz="4" w:space="0"/>
                    <w:right w:val="single" w:color="000000" w:sz="4" w:space="0"/>
                  </w:tcBorders>
                  <w:vAlign w:val="top"/>
                </w:tcPr>
                <w:p w14:paraId="3CE5B985">
                  <w:pPr>
                    <w:jc w:val="center"/>
                  </w:pPr>
                  <w:r>
                    <w:rPr>
                      <w:sz w:val="21"/>
                    </w:rPr>
                    <w:t>1</w:t>
                  </w:r>
                </w:p>
              </w:tc>
            </w:tr>
            <w:tr w14:paraId="61A5AD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34D795A0">
                  <w:pPr>
                    <w:jc w:val="center"/>
                  </w:pPr>
                  <w:r>
                    <w:rPr>
                      <w:sz w:val="21"/>
                    </w:rPr>
                    <w:t>二轮摩托车、电动车</w:t>
                  </w:r>
                </w:p>
              </w:tc>
              <w:tc>
                <w:tcPr>
                  <w:tcW w:w="952" w:type="dxa"/>
                  <w:tcBorders>
                    <w:top w:val="nil"/>
                    <w:left w:val="nil"/>
                    <w:bottom w:val="single" w:color="000000" w:sz="4" w:space="0"/>
                    <w:right w:val="single" w:color="000000" w:sz="4" w:space="0"/>
                  </w:tcBorders>
                  <w:vAlign w:val="top"/>
                </w:tcPr>
                <w:p w14:paraId="2BE11C34">
                  <w:pPr>
                    <w:jc w:val="center"/>
                  </w:pPr>
                  <w:r>
                    <w:rPr>
                      <w:sz w:val="21"/>
                    </w:rPr>
                    <w:t>元/车·次</w:t>
                  </w:r>
                </w:p>
              </w:tc>
              <w:tc>
                <w:tcPr>
                  <w:tcW w:w="1205" w:type="dxa"/>
                  <w:tcBorders>
                    <w:top w:val="nil"/>
                    <w:left w:val="nil"/>
                    <w:bottom w:val="single" w:color="000000" w:sz="4" w:space="0"/>
                    <w:right w:val="single" w:color="000000" w:sz="4" w:space="0"/>
                  </w:tcBorders>
                  <w:vAlign w:val="top"/>
                </w:tcPr>
                <w:p w14:paraId="2D47556A">
                  <w:pPr>
                    <w:jc w:val="center"/>
                  </w:pPr>
                  <w:r>
                    <w:rPr>
                      <w:sz w:val="21"/>
                    </w:rPr>
                    <w:t>130</w:t>
                  </w:r>
                </w:p>
              </w:tc>
              <w:tc>
                <w:tcPr>
                  <w:tcW w:w="1007" w:type="dxa"/>
                  <w:tcBorders>
                    <w:top w:val="nil"/>
                    <w:left w:val="nil"/>
                    <w:bottom w:val="single" w:color="000000" w:sz="4" w:space="0"/>
                    <w:right w:val="single" w:color="000000" w:sz="4" w:space="0"/>
                  </w:tcBorders>
                  <w:vAlign w:val="top"/>
                </w:tcPr>
                <w:p w14:paraId="3C8BFE8C">
                  <w:pPr>
                    <w:jc w:val="center"/>
                  </w:pPr>
                  <w:r>
                    <w:rPr>
                      <w:sz w:val="21"/>
                    </w:rPr>
                    <w:t>5</w:t>
                  </w:r>
                </w:p>
              </w:tc>
              <w:tc>
                <w:tcPr>
                  <w:tcW w:w="986" w:type="dxa"/>
                  <w:tcBorders>
                    <w:top w:val="nil"/>
                    <w:left w:val="nil"/>
                    <w:bottom w:val="single" w:color="000000" w:sz="4" w:space="0"/>
                    <w:right w:val="single" w:color="000000" w:sz="4" w:space="0"/>
                  </w:tcBorders>
                  <w:vAlign w:val="top"/>
                </w:tcPr>
                <w:p w14:paraId="565B89E2">
                  <w:pPr>
                    <w:jc w:val="center"/>
                  </w:pPr>
                  <w:r>
                    <w:rPr>
                      <w:sz w:val="21"/>
                    </w:rPr>
                    <w:t>4</w:t>
                  </w:r>
                </w:p>
              </w:tc>
            </w:tr>
            <w:tr w14:paraId="5796B00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15C8A353">
                  <w:pPr>
                    <w:jc w:val="center"/>
                  </w:pPr>
                  <w:r>
                    <w:rPr>
                      <w:sz w:val="21"/>
                    </w:rPr>
                    <w:t>三轮摩托车</w:t>
                  </w:r>
                </w:p>
              </w:tc>
              <w:tc>
                <w:tcPr>
                  <w:tcW w:w="952" w:type="dxa"/>
                  <w:tcBorders>
                    <w:top w:val="nil"/>
                    <w:left w:val="nil"/>
                    <w:bottom w:val="single" w:color="000000" w:sz="4" w:space="0"/>
                    <w:right w:val="single" w:color="000000" w:sz="4" w:space="0"/>
                  </w:tcBorders>
                  <w:vAlign w:val="top"/>
                </w:tcPr>
                <w:p w14:paraId="2BAD2453">
                  <w:pPr>
                    <w:jc w:val="center"/>
                  </w:pPr>
                  <w:r>
                    <w:rPr>
                      <w:sz w:val="21"/>
                    </w:rPr>
                    <w:t>元/车·次</w:t>
                  </w:r>
                </w:p>
              </w:tc>
              <w:tc>
                <w:tcPr>
                  <w:tcW w:w="1205" w:type="dxa"/>
                  <w:tcBorders>
                    <w:top w:val="nil"/>
                    <w:left w:val="nil"/>
                    <w:bottom w:val="single" w:color="000000" w:sz="4" w:space="0"/>
                    <w:right w:val="single" w:color="000000" w:sz="4" w:space="0"/>
                  </w:tcBorders>
                  <w:vAlign w:val="top"/>
                </w:tcPr>
                <w:p w14:paraId="399E167D">
                  <w:pPr>
                    <w:jc w:val="center"/>
                  </w:pPr>
                  <w:r>
                    <w:rPr>
                      <w:sz w:val="21"/>
                    </w:rPr>
                    <w:t>180</w:t>
                  </w:r>
                </w:p>
              </w:tc>
              <w:tc>
                <w:tcPr>
                  <w:tcW w:w="1007" w:type="dxa"/>
                  <w:tcBorders>
                    <w:top w:val="nil"/>
                    <w:left w:val="nil"/>
                    <w:bottom w:val="single" w:color="000000" w:sz="4" w:space="0"/>
                    <w:right w:val="single" w:color="000000" w:sz="4" w:space="0"/>
                  </w:tcBorders>
                  <w:vAlign w:val="top"/>
                </w:tcPr>
                <w:p w14:paraId="6F27827C">
                  <w:pPr>
                    <w:jc w:val="center"/>
                  </w:pPr>
                  <w:r>
                    <w:rPr>
                      <w:sz w:val="21"/>
                    </w:rPr>
                    <w:t>7</w:t>
                  </w:r>
                </w:p>
              </w:tc>
              <w:tc>
                <w:tcPr>
                  <w:tcW w:w="986" w:type="dxa"/>
                  <w:tcBorders>
                    <w:top w:val="nil"/>
                    <w:left w:val="nil"/>
                    <w:bottom w:val="single" w:color="000000" w:sz="4" w:space="0"/>
                    <w:right w:val="single" w:color="000000" w:sz="4" w:space="0"/>
                  </w:tcBorders>
                  <w:vAlign w:val="top"/>
                </w:tcPr>
                <w:p w14:paraId="7804300B">
                  <w:pPr>
                    <w:jc w:val="center"/>
                  </w:pPr>
                  <w:r>
                    <w:rPr>
                      <w:sz w:val="21"/>
                    </w:rPr>
                    <w:t>5.6</w:t>
                  </w:r>
                </w:p>
              </w:tc>
            </w:tr>
            <w:tr w14:paraId="1E9748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6DF3B7FF">
                  <w:pPr>
                    <w:jc w:val="center"/>
                  </w:pPr>
                  <w:r>
                    <w:rPr>
                      <w:sz w:val="21"/>
                    </w:rPr>
                    <w:t>7座以下（含7座）客车、2吨（含2吨）以下货车</w:t>
                  </w:r>
                </w:p>
              </w:tc>
              <w:tc>
                <w:tcPr>
                  <w:tcW w:w="952" w:type="dxa"/>
                  <w:tcBorders>
                    <w:top w:val="nil"/>
                    <w:left w:val="nil"/>
                    <w:bottom w:val="single" w:color="000000" w:sz="4" w:space="0"/>
                    <w:right w:val="single" w:color="000000" w:sz="4" w:space="0"/>
                  </w:tcBorders>
                  <w:vAlign w:val="top"/>
                </w:tcPr>
                <w:p w14:paraId="4D9316B0">
                  <w:pPr>
                    <w:jc w:val="center"/>
                  </w:pPr>
                  <w:r>
                    <w:rPr>
                      <w:sz w:val="21"/>
                    </w:rPr>
                    <w:t>元/车·次</w:t>
                  </w:r>
                </w:p>
              </w:tc>
              <w:tc>
                <w:tcPr>
                  <w:tcW w:w="1205" w:type="dxa"/>
                  <w:tcBorders>
                    <w:top w:val="nil"/>
                    <w:left w:val="nil"/>
                    <w:bottom w:val="single" w:color="000000" w:sz="4" w:space="0"/>
                    <w:right w:val="single" w:color="000000" w:sz="4" w:space="0"/>
                  </w:tcBorders>
                  <w:vAlign w:val="top"/>
                </w:tcPr>
                <w:p w14:paraId="1DE3A3DE">
                  <w:pPr>
                    <w:jc w:val="center"/>
                  </w:pPr>
                  <w:r>
                    <w:rPr>
                      <w:sz w:val="21"/>
                    </w:rPr>
                    <w:t>350</w:t>
                  </w:r>
                </w:p>
              </w:tc>
              <w:tc>
                <w:tcPr>
                  <w:tcW w:w="1007" w:type="dxa"/>
                  <w:tcBorders>
                    <w:top w:val="nil"/>
                    <w:left w:val="nil"/>
                    <w:bottom w:val="single" w:color="000000" w:sz="4" w:space="0"/>
                    <w:right w:val="single" w:color="000000" w:sz="4" w:space="0"/>
                  </w:tcBorders>
                  <w:vAlign w:val="top"/>
                </w:tcPr>
                <w:p w14:paraId="751FE399">
                  <w:pPr>
                    <w:jc w:val="center"/>
                  </w:pPr>
                  <w:r>
                    <w:rPr>
                      <w:sz w:val="21"/>
                    </w:rPr>
                    <w:t>9</w:t>
                  </w:r>
                </w:p>
              </w:tc>
              <w:tc>
                <w:tcPr>
                  <w:tcW w:w="986" w:type="dxa"/>
                  <w:tcBorders>
                    <w:top w:val="nil"/>
                    <w:left w:val="nil"/>
                    <w:bottom w:val="single" w:color="000000" w:sz="4" w:space="0"/>
                    <w:right w:val="single" w:color="000000" w:sz="4" w:space="0"/>
                  </w:tcBorders>
                  <w:vAlign w:val="top"/>
                </w:tcPr>
                <w:p w14:paraId="79E4992B">
                  <w:pPr>
                    <w:jc w:val="center"/>
                  </w:pPr>
                  <w:r>
                    <w:rPr>
                      <w:sz w:val="21"/>
                    </w:rPr>
                    <w:t>7.2</w:t>
                  </w:r>
                </w:p>
              </w:tc>
            </w:tr>
            <w:tr w14:paraId="1D4FFE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347ECDC9">
                  <w:pPr>
                    <w:jc w:val="center"/>
                  </w:pPr>
                  <w:r>
                    <w:rPr>
                      <w:sz w:val="21"/>
                    </w:rPr>
                    <w:t>8座以上至19座（含19座）以下客车、2吨以上至5吨（含5吨）货车</w:t>
                  </w:r>
                </w:p>
              </w:tc>
              <w:tc>
                <w:tcPr>
                  <w:tcW w:w="952" w:type="dxa"/>
                  <w:tcBorders>
                    <w:top w:val="nil"/>
                    <w:left w:val="nil"/>
                    <w:bottom w:val="single" w:color="000000" w:sz="4" w:space="0"/>
                    <w:right w:val="single" w:color="000000" w:sz="4" w:space="0"/>
                  </w:tcBorders>
                  <w:vAlign w:val="top"/>
                </w:tcPr>
                <w:p w14:paraId="397B1501">
                  <w:pPr>
                    <w:jc w:val="center"/>
                  </w:pPr>
                  <w:r>
                    <w:rPr>
                      <w:sz w:val="21"/>
                    </w:rPr>
                    <w:t>元/车·次</w:t>
                  </w:r>
                </w:p>
              </w:tc>
              <w:tc>
                <w:tcPr>
                  <w:tcW w:w="1205" w:type="dxa"/>
                  <w:tcBorders>
                    <w:top w:val="nil"/>
                    <w:left w:val="nil"/>
                    <w:bottom w:val="single" w:color="000000" w:sz="4" w:space="0"/>
                    <w:right w:val="single" w:color="000000" w:sz="4" w:space="0"/>
                  </w:tcBorders>
                  <w:vAlign w:val="top"/>
                </w:tcPr>
                <w:p w14:paraId="228C9753">
                  <w:pPr>
                    <w:jc w:val="center"/>
                  </w:pPr>
                  <w:r>
                    <w:rPr>
                      <w:sz w:val="21"/>
                    </w:rPr>
                    <w:t>400</w:t>
                  </w:r>
                </w:p>
              </w:tc>
              <w:tc>
                <w:tcPr>
                  <w:tcW w:w="1007" w:type="dxa"/>
                  <w:tcBorders>
                    <w:top w:val="nil"/>
                    <w:left w:val="nil"/>
                    <w:bottom w:val="single" w:color="000000" w:sz="4" w:space="0"/>
                    <w:right w:val="single" w:color="000000" w:sz="4" w:space="0"/>
                  </w:tcBorders>
                  <w:vAlign w:val="top"/>
                </w:tcPr>
                <w:p w14:paraId="0B16EF6A">
                  <w:pPr>
                    <w:jc w:val="center"/>
                  </w:pPr>
                  <w:r>
                    <w:rPr>
                      <w:sz w:val="21"/>
                    </w:rPr>
                    <w:t>12</w:t>
                  </w:r>
                </w:p>
              </w:tc>
              <w:tc>
                <w:tcPr>
                  <w:tcW w:w="986" w:type="dxa"/>
                  <w:tcBorders>
                    <w:top w:val="nil"/>
                    <w:left w:val="nil"/>
                    <w:bottom w:val="single" w:color="000000" w:sz="4" w:space="0"/>
                    <w:right w:val="single" w:color="000000" w:sz="4" w:space="0"/>
                  </w:tcBorders>
                  <w:vAlign w:val="top"/>
                </w:tcPr>
                <w:p w14:paraId="672229D6">
                  <w:pPr>
                    <w:jc w:val="center"/>
                  </w:pPr>
                  <w:r>
                    <w:rPr>
                      <w:sz w:val="21"/>
                    </w:rPr>
                    <w:t>9.6</w:t>
                  </w:r>
                </w:p>
              </w:tc>
            </w:tr>
            <w:tr w14:paraId="71912B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41A40A5B">
                  <w:pPr>
                    <w:jc w:val="center"/>
                  </w:pPr>
                  <w:r>
                    <w:rPr>
                      <w:sz w:val="21"/>
                    </w:rPr>
                    <w:t>20座以上至39座（含39座以下客车、5吨以上至10吨（含10吨）货车</w:t>
                  </w:r>
                </w:p>
              </w:tc>
              <w:tc>
                <w:tcPr>
                  <w:tcW w:w="952" w:type="dxa"/>
                  <w:tcBorders>
                    <w:top w:val="nil"/>
                    <w:left w:val="nil"/>
                    <w:bottom w:val="single" w:color="000000" w:sz="4" w:space="0"/>
                    <w:right w:val="single" w:color="000000" w:sz="4" w:space="0"/>
                  </w:tcBorders>
                  <w:vAlign w:val="top"/>
                </w:tcPr>
                <w:p w14:paraId="4588FA02">
                  <w:pPr>
                    <w:jc w:val="center"/>
                  </w:pPr>
                  <w:r>
                    <w:rPr>
                      <w:sz w:val="21"/>
                    </w:rPr>
                    <w:t>元/车·次</w:t>
                  </w:r>
                </w:p>
              </w:tc>
              <w:tc>
                <w:tcPr>
                  <w:tcW w:w="1205" w:type="dxa"/>
                  <w:tcBorders>
                    <w:top w:val="nil"/>
                    <w:left w:val="nil"/>
                    <w:bottom w:val="single" w:color="000000" w:sz="4" w:space="0"/>
                    <w:right w:val="single" w:color="000000" w:sz="4" w:space="0"/>
                  </w:tcBorders>
                  <w:vAlign w:val="top"/>
                </w:tcPr>
                <w:p w14:paraId="474ADDF4">
                  <w:pPr>
                    <w:jc w:val="center"/>
                  </w:pPr>
                  <w:r>
                    <w:rPr>
                      <w:sz w:val="21"/>
                    </w:rPr>
                    <w:t>480</w:t>
                  </w:r>
                </w:p>
              </w:tc>
              <w:tc>
                <w:tcPr>
                  <w:tcW w:w="1007" w:type="dxa"/>
                  <w:tcBorders>
                    <w:top w:val="nil"/>
                    <w:left w:val="nil"/>
                    <w:bottom w:val="single" w:color="000000" w:sz="4" w:space="0"/>
                    <w:right w:val="single" w:color="000000" w:sz="4" w:space="0"/>
                  </w:tcBorders>
                  <w:vAlign w:val="top"/>
                </w:tcPr>
                <w:p w14:paraId="36EC652B">
                  <w:pPr>
                    <w:jc w:val="center"/>
                  </w:pPr>
                  <w:r>
                    <w:rPr>
                      <w:sz w:val="21"/>
                    </w:rPr>
                    <w:t>14</w:t>
                  </w:r>
                </w:p>
              </w:tc>
              <w:tc>
                <w:tcPr>
                  <w:tcW w:w="986" w:type="dxa"/>
                  <w:tcBorders>
                    <w:top w:val="nil"/>
                    <w:left w:val="nil"/>
                    <w:bottom w:val="single" w:color="000000" w:sz="4" w:space="0"/>
                    <w:right w:val="single" w:color="000000" w:sz="4" w:space="0"/>
                  </w:tcBorders>
                  <w:vAlign w:val="top"/>
                </w:tcPr>
                <w:p w14:paraId="3D6CB357">
                  <w:pPr>
                    <w:jc w:val="center"/>
                  </w:pPr>
                  <w:r>
                    <w:rPr>
                      <w:sz w:val="21"/>
                    </w:rPr>
                    <w:t>11.2</w:t>
                  </w:r>
                </w:p>
              </w:tc>
            </w:tr>
            <w:tr w14:paraId="4F872F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58A9F952">
                  <w:pPr>
                    <w:jc w:val="center"/>
                  </w:pPr>
                  <w:r>
                    <w:rPr>
                      <w:sz w:val="21"/>
                    </w:rPr>
                    <w:t>40座（含40座）以上客车、10吨以上至15吨（含15吨）货车、20英尺集装箱车</w:t>
                  </w:r>
                </w:p>
              </w:tc>
              <w:tc>
                <w:tcPr>
                  <w:tcW w:w="952" w:type="dxa"/>
                  <w:tcBorders>
                    <w:top w:val="nil"/>
                    <w:left w:val="nil"/>
                    <w:bottom w:val="single" w:color="000000" w:sz="4" w:space="0"/>
                    <w:right w:val="single" w:color="000000" w:sz="4" w:space="0"/>
                  </w:tcBorders>
                  <w:vAlign w:val="top"/>
                </w:tcPr>
                <w:p w14:paraId="10950230">
                  <w:pPr>
                    <w:jc w:val="center"/>
                  </w:pPr>
                  <w:r>
                    <w:rPr>
                      <w:sz w:val="21"/>
                    </w:rPr>
                    <w:t>元/车·次</w:t>
                  </w:r>
                </w:p>
              </w:tc>
              <w:tc>
                <w:tcPr>
                  <w:tcW w:w="1205" w:type="dxa"/>
                  <w:tcBorders>
                    <w:top w:val="nil"/>
                    <w:left w:val="nil"/>
                    <w:bottom w:val="single" w:color="000000" w:sz="4" w:space="0"/>
                    <w:right w:val="single" w:color="000000" w:sz="4" w:space="0"/>
                  </w:tcBorders>
                  <w:vAlign w:val="top"/>
                </w:tcPr>
                <w:p w14:paraId="797AB8A6">
                  <w:pPr>
                    <w:jc w:val="center"/>
                  </w:pPr>
                  <w:r>
                    <w:rPr>
                      <w:sz w:val="21"/>
                    </w:rPr>
                    <w:t>560</w:t>
                  </w:r>
                </w:p>
              </w:tc>
              <w:tc>
                <w:tcPr>
                  <w:tcW w:w="1007" w:type="dxa"/>
                  <w:tcBorders>
                    <w:top w:val="nil"/>
                    <w:left w:val="nil"/>
                    <w:bottom w:val="single" w:color="000000" w:sz="4" w:space="0"/>
                    <w:right w:val="single" w:color="000000" w:sz="4" w:space="0"/>
                  </w:tcBorders>
                  <w:vAlign w:val="top"/>
                </w:tcPr>
                <w:p w14:paraId="59A5DEFC">
                  <w:pPr>
                    <w:jc w:val="center"/>
                  </w:pPr>
                  <w:r>
                    <w:rPr>
                      <w:sz w:val="21"/>
                    </w:rPr>
                    <w:t>17</w:t>
                  </w:r>
                </w:p>
              </w:tc>
              <w:tc>
                <w:tcPr>
                  <w:tcW w:w="986" w:type="dxa"/>
                  <w:tcBorders>
                    <w:top w:val="nil"/>
                    <w:left w:val="nil"/>
                    <w:bottom w:val="single" w:color="000000" w:sz="4" w:space="0"/>
                    <w:right w:val="single" w:color="000000" w:sz="4" w:space="0"/>
                  </w:tcBorders>
                  <w:vAlign w:val="top"/>
                </w:tcPr>
                <w:p w14:paraId="3DC97FF3">
                  <w:pPr>
                    <w:jc w:val="center"/>
                  </w:pPr>
                  <w:r>
                    <w:rPr>
                      <w:sz w:val="21"/>
                    </w:rPr>
                    <w:t>13.6</w:t>
                  </w:r>
                </w:p>
              </w:tc>
            </w:tr>
            <w:tr w14:paraId="4D3ED8C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578219D7">
                  <w:pPr>
                    <w:jc w:val="center"/>
                  </w:pPr>
                  <w:r>
                    <w:rPr>
                      <w:sz w:val="21"/>
                    </w:rPr>
                    <w:t>15吨以上至35吨（含35吨）货车、40英尺集装箱车</w:t>
                  </w:r>
                </w:p>
              </w:tc>
              <w:tc>
                <w:tcPr>
                  <w:tcW w:w="952" w:type="dxa"/>
                  <w:tcBorders>
                    <w:top w:val="nil"/>
                    <w:left w:val="nil"/>
                    <w:bottom w:val="single" w:color="000000" w:sz="4" w:space="0"/>
                    <w:right w:val="single" w:color="000000" w:sz="4" w:space="0"/>
                  </w:tcBorders>
                  <w:vAlign w:val="top"/>
                </w:tcPr>
                <w:p w14:paraId="4B1370BE">
                  <w:pPr>
                    <w:jc w:val="center"/>
                  </w:pPr>
                  <w:r>
                    <w:rPr>
                      <w:sz w:val="21"/>
                    </w:rPr>
                    <w:t>元/车·次</w:t>
                  </w:r>
                </w:p>
              </w:tc>
              <w:tc>
                <w:tcPr>
                  <w:tcW w:w="1205" w:type="dxa"/>
                  <w:tcBorders>
                    <w:top w:val="nil"/>
                    <w:left w:val="nil"/>
                    <w:bottom w:val="single" w:color="000000" w:sz="4" w:space="0"/>
                    <w:right w:val="single" w:color="000000" w:sz="4" w:space="0"/>
                  </w:tcBorders>
                  <w:vAlign w:val="top"/>
                </w:tcPr>
                <w:p w14:paraId="63C8E925">
                  <w:pPr>
                    <w:jc w:val="center"/>
                  </w:pPr>
                  <w:r>
                    <w:rPr>
                      <w:sz w:val="21"/>
                    </w:rPr>
                    <w:t>650</w:t>
                  </w:r>
                </w:p>
              </w:tc>
              <w:tc>
                <w:tcPr>
                  <w:tcW w:w="1007" w:type="dxa"/>
                  <w:tcBorders>
                    <w:top w:val="nil"/>
                    <w:left w:val="nil"/>
                    <w:bottom w:val="single" w:color="000000" w:sz="4" w:space="0"/>
                    <w:right w:val="single" w:color="000000" w:sz="4" w:space="0"/>
                  </w:tcBorders>
                  <w:vAlign w:val="top"/>
                </w:tcPr>
                <w:p w14:paraId="4F7EDC68">
                  <w:pPr>
                    <w:jc w:val="center"/>
                  </w:pPr>
                  <w:r>
                    <w:rPr>
                      <w:sz w:val="21"/>
                    </w:rPr>
                    <w:t>20</w:t>
                  </w:r>
                </w:p>
              </w:tc>
              <w:tc>
                <w:tcPr>
                  <w:tcW w:w="986" w:type="dxa"/>
                  <w:tcBorders>
                    <w:top w:val="nil"/>
                    <w:left w:val="nil"/>
                    <w:bottom w:val="single" w:color="000000" w:sz="4" w:space="0"/>
                    <w:right w:val="single" w:color="000000" w:sz="4" w:space="0"/>
                  </w:tcBorders>
                  <w:vAlign w:val="top"/>
                </w:tcPr>
                <w:p w14:paraId="25CEF835">
                  <w:pPr>
                    <w:jc w:val="center"/>
                  </w:pPr>
                  <w:r>
                    <w:rPr>
                      <w:sz w:val="21"/>
                    </w:rPr>
                    <w:t>16</w:t>
                  </w:r>
                </w:p>
              </w:tc>
            </w:tr>
            <w:tr w14:paraId="56391F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41" w:type="dxa"/>
              </w:trPr>
              <w:tc>
                <w:tcPr>
                  <w:tcW w:w="896" w:type="dxa"/>
                  <w:tcBorders>
                    <w:top w:val="nil"/>
                    <w:left w:val="single" w:color="000000" w:sz="4" w:space="0"/>
                    <w:bottom w:val="single" w:color="000000" w:sz="4" w:space="0"/>
                    <w:right w:val="single" w:color="000000" w:sz="4" w:space="0"/>
                  </w:tcBorders>
                  <w:vAlign w:val="top"/>
                </w:tcPr>
                <w:p w14:paraId="0E523B58">
                  <w:pPr>
                    <w:jc w:val="center"/>
                  </w:pPr>
                  <w:r>
                    <w:rPr>
                      <w:sz w:val="21"/>
                    </w:rPr>
                    <w:t>35吨以上货车</w:t>
                  </w:r>
                </w:p>
              </w:tc>
              <w:tc>
                <w:tcPr>
                  <w:tcW w:w="952" w:type="dxa"/>
                  <w:tcBorders>
                    <w:top w:val="nil"/>
                    <w:left w:val="nil"/>
                    <w:bottom w:val="single" w:color="000000" w:sz="4" w:space="0"/>
                    <w:right w:val="single" w:color="000000" w:sz="4" w:space="0"/>
                  </w:tcBorders>
                  <w:vAlign w:val="top"/>
                </w:tcPr>
                <w:p w14:paraId="25C4527E">
                  <w:pPr>
                    <w:jc w:val="center"/>
                  </w:pPr>
                  <w:r>
                    <w:rPr>
                      <w:sz w:val="21"/>
                    </w:rPr>
                    <w:t>元/车·次</w:t>
                  </w:r>
                </w:p>
              </w:tc>
              <w:tc>
                <w:tcPr>
                  <w:tcW w:w="1205" w:type="dxa"/>
                  <w:tcBorders>
                    <w:top w:val="nil"/>
                    <w:left w:val="nil"/>
                    <w:bottom w:val="single" w:color="000000" w:sz="4" w:space="0"/>
                    <w:right w:val="single" w:color="000000" w:sz="4" w:space="0"/>
                  </w:tcBorders>
                  <w:vAlign w:val="top"/>
                </w:tcPr>
                <w:p w14:paraId="423CE095">
                  <w:pPr>
                    <w:jc w:val="center"/>
                  </w:pPr>
                  <w:r>
                    <w:rPr>
                      <w:sz w:val="21"/>
                    </w:rPr>
                    <w:t>730</w:t>
                  </w:r>
                </w:p>
              </w:tc>
              <w:tc>
                <w:tcPr>
                  <w:tcW w:w="1007" w:type="dxa"/>
                  <w:tcBorders>
                    <w:top w:val="nil"/>
                    <w:left w:val="nil"/>
                    <w:bottom w:val="single" w:color="000000" w:sz="4" w:space="0"/>
                    <w:right w:val="single" w:color="000000" w:sz="4" w:space="0"/>
                  </w:tcBorders>
                  <w:vAlign w:val="top"/>
                </w:tcPr>
                <w:p w14:paraId="4EC855BE">
                  <w:pPr>
                    <w:jc w:val="center"/>
                  </w:pPr>
                  <w:r>
                    <w:rPr>
                      <w:sz w:val="21"/>
                    </w:rPr>
                    <w:t>23</w:t>
                  </w:r>
                </w:p>
              </w:tc>
              <w:tc>
                <w:tcPr>
                  <w:tcW w:w="986" w:type="dxa"/>
                  <w:tcBorders>
                    <w:top w:val="nil"/>
                    <w:left w:val="nil"/>
                    <w:bottom w:val="single" w:color="000000" w:sz="4" w:space="0"/>
                    <w:right w:val="single" w:color="000000" w:sz="4" w:space="0"/>
                  </w:tcBorders>
                  <w:vAlign w:val="top"/>
                </w:tcPr>
                <w:p w14:paraId="50400F58">
                  <w:pPr>
                    <w:jc w:val="center"/>
                  </w:pPr>
                  <w:r>
                    <w:rPr>
                      <w:sz w:val="21"/>
                    </w:rPr>
                    <w:t>18.4</w:t>
                  </w:r>
                </w:p>
              </w:tc>
            </w:tr>
          </w:tbl>
          <w:p w14:paraId="55426BB3"/>
        </w:tc>
      </w:tr>
      <w:tr w14:paraId="2BC591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732BD8E1"/>
        </w:tc>
        <w:tc>
          <w:tcPr>
            <w:tcW w:w="415" w:type="dxa"/>
          </w:tcPr>
          <w:p w14:paraId="1D64A7E4">
            <w:r>
              <w:t>2</w:t>
            </w:r>
          </w:p>
        </w:tc>
        <w:tc>
          <w:tcPr>
            <w:tcW w:w="5814" w:type="dxa"/>
          </w:tcPr>
          <w:p w14:paraId="626595A5">
            <w:pPr>
              <w:jc w:val="center"/>
            </w:pPr>
            <w:r>
              <w:rPr>
                <w:b/>
                <w:sz w:val="21"/>
              </w:rPr>
              <w:t>普通公路、城市道路事故车辆拖车服务收费标准</w:t>
            </w:r>
          </w:p>
          <w:tbl>
            <w:tblPr>
              <w:tblStyle w:val="2"/>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346"/>
              <w:gridCol w:w="766"/>
              <w:gridCol w:w="967"/>
              <w:gridCol w:w="876"/>
              <w:gridCol w:w="944"/>
              <w:gridCol w:w="574"/>
            </w:tblGrid>
            <w:tr w14:paraId="24E646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1408" w:type="dxa"/>
                  <w:vMerge w:val="restart"/>
                  <w:tcBorders>
                    <w:top w:val="single" w:color="000000" w:sz="4" w:space="0"/>
                    <w:left w:val="single" w:color="000000" w:sz="4" w:space="0"/>
                    <w:bottom w:val="single" w:color="000000" w:sz="4" w:space="0"/>
                    <w:right w:val="single" w:color="000000" w:sz="4" w:space="0"/>
                  </w:tcBorders>
                  <w:vAlign w:val="top"/>
                </w:tcPr>
                <w:p w14:paraId="6E7C2AA8">
                  <w:pPr>
                    <w:jc w:val="center"/>
                  </w:pPr>
                  <w:r>
                    <w:rPr>
                      <w:b/>
                      <w:sz w:val="21"/>
                    </w:rPr>
                    <w:t>项目内容</w:t>
                  </w:r>
                </w:p>
              </w:tc>
              <w:tc>
                <w:tcPr>
                  <w:tcW w:w="773" w:type="dxa"/>
                  <w:vMerge w:val="restart"/>
                  <w:tcBorders>
                    <w:top w:val="single" w:color="000000" w:sz="4" w:space="0"/>
                    <w:left w:val="nil"/>
                    <w:bottom w:val="single" w:color="000000" w:sz="4" w:space="0"/>
                    <w:right w:val="single" w:color="000000" w:sz="4" w:space="0"/>
                  </w:tcBorders>
                  <w:vAlign w:val="top"/>
                </w:tcPr>
                <w:p w14:paraId="548BD3FB">
                  <w:pPr>
                    <w:jc w:val="center"/>
                  </w:pPr>
                  <w:r>
                    <w:rPr>
                      <w:b/>
                      <w:sz w:val="21"/>
                    </w:rPr>
                    <w:t>计算单位</w:t>
                  </w:r>
                </w:p>
              </w:tc>
              <w:tc>
                <w:tcPr>
                  <w:tcW w:w="2830" w:type="dxa"/>
                  <w:gridSpan w:val="3"/>
                  <w:tcBorders>
                    <w:top w:val="single" w:color="000000" w:sz="4" w:space="0"/>
                    <w:left w:val="nil"/>
                    <w:bottom w:val="single" w:color="000000" w:sz="4" w:space="0"/>
                    <w:right w:val="single" w:color="000000" w:sz="4" w:space="0"/>
                  </w:tcBorders>
                  <w:vAlign w:val="top"/>
                </w:tcPr>
                <w:p w14:paraId="5967FF1E">
                  <w:pPr>
                    <w:jc w:val="center"/>
                  </w:pPr>
                  <w:r>
                    <w:rPr>
                      <w:b/>
                      <w:sz w:val="21"/>
                    </w:rPr>
                    <w:t>收费</w:t>
                  </w:r>
                </w:p>
              </w:tc>
              <w:tc>
                <w:tcPr>
                  <w:tcW w:w="587" w:type="dxa"/>
                  <w:tcBorders>
                    <w:top w:val="single" w:color="000000" w:sz="4" w:space="0"/>
                    <w:left w:val="nil"/>
                    <w:bottom w:val="single" w:color="000000" w:sz="4" w:space="0"/>
                    <w:right w:val="single" w:color="000000" w:sz="4" w:space="0"/>
                  </w:tcBorders>
                  <w:vAlign w:val="top"/>
                </w:tcPr>
                <w:p w14:paraId="33DA30D4">
                  <w:pPr>
                    <w:jc w:val="center"/>
                  </w:pPr>
                  <w:r>
                    <w:rPr>
                      <w:b/>
                      <w:sz w:val="21"/>
                    </w:rPr>
                    <w:t>备注</w:t>
                  </w:r>
                </w:p>
              </w:tc>
            </w:tr>
            <w:tr w14:paraId="0B5DC6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408" w:type="dxa"/>
                  <w:vMerge w:val="continue"/>
                  <w:tcBorders>
                    <w:top w:val="single" w:color="000000" w:sz="4" w:space="0"/>
                    <w:left w:val="single" w:color="000000" w:sz="4" w:space="0"/>
                    <w:bottom w:val="single" w:color="000000" w:sz="4" w:space="0"/>
                    <w:right w:val="single" w:color="000000" w:sz="4" w:space="0"/>
                  </w:tcBorders>
                </w:tcPr>
                <w:p w14:paraId="45672AD4"/>
              </w:tc>
              <w:tc>
                <w:tcPr>
                  <w:tcW w:w="773" w:type="dxa"/>
                  <w:vMerge w:val="continue"/>
                  <w:tcBorders>
                    <w:top w:val="single" w:color="000000" w:sz="4" w:space="0"/>
                    <w:left w:val="nil"/>
                    <w:bottom w:val="single" w:color="000000" w:sz="4" w:space="0"/>
                    <w:right w:val="single" w:color="000000" w:sz="4" w:space="0"/>
                  </w:tcBorders>
                </w:tcPr>
                <w:p w14:paraId="6752E14C"/>
              </w:tc>
              <w:tc>
                <w:tcPr>
                  <w:tcW w:w="972" w:type="dxa"/>
                  <w:tcBorders>
                    <w:top w:val="nil"/>
                    <w:left w:val="nil"/>
                    <w:bottom w:val="single" w:color="000000" w:sz="4" w:space="0"/>
                    <w:right w:val="single" w:color="000000" w:sz="4" w:space="0"/>
                  </w:tcBorders>
                  <w:vAlign w:val="top"/>
                </w:tcPr>
                <w:p w14:paraId="36B7F9E5">
                  <w:pPr>
                    <w:jc w:val="center"/>
                  </w:pPr>
                  <w:r>
                    <w:rPr>
                      <w:b/>
                      <w:sz w:val="21"/>
                    </w:rPr>
                    <w:t>基价</w:t>
                  </w:r>
                </w:p>
                <w:p w14:paraId="50B87AE8">
                  <w:pPr>
                    <w:jc w:val="center"/>
                  </w:pPr>
                  <w:r>
                    <w:rPr>
                      <w:b/>
                      <w:sz w:val="21"/>
                    </w:rPr>
                    <w:t>（元/车·次）</w:t>
                  </w:r>
                </w:p>
              </w:tc>
              <w:tc>
                <w:tcPr>
                  <w:tcW w:w="892" w:type="dxa"/>
                  <w:tcBorders>
                    <w:top w:val="nil"/>
                    <w:left w:val="nil"/>
                    <w:bottom w:val="single" w:color="000000" w:sz="4" w:space="0"/>
                    <w:right w:val="single" w:color="000000" w:sz="4" w:space="0"/>
                  </w:tcBorders>
                  <w:vAlign w:val="top"/>
                </w:tcPr>
                <w:p w14:paraId="0ABD3C0F">
                  <w:pPr>
                    <w:jc w:val="center"/>
                  </w:pPr>
                  <w:r>
                    <w:rPr>
                      <w:b/>
                      <w:sz w:val="21"/>
                    </w:rPr>
                    <w:t>10公里以上35公里以内加收费用（元/车·公里）</w:t>
                  </w:r>
                </w:p>
              </w:tc>
              <w:tc>
                <w:tcPr>
                  <w:tcW w:w="966" w:type="dxa"/>
                  <w:tcBorders>
                    <w:top w:val="single" w:color="000000" w:sz="4" w:space="0"/>
                    <w:left w:val="nil"/>
                    <w:bottom w:val="single" w:color="000000" w:sz="4" w:space="0"/>
                    <w:right w:val="single" w:color="000000" w:sz="4" w:space="0"/>
                  </w:tcBorders>
                  <w:vAlign w:val="top"/>
                </w:tcPr>
                <w:p w14:paraId="607D2922">
                  <w:pPr>
                    <w:jc w:val="center"/>
                  </w:pPr>
                  <w:r>
                    <w:rPr>
                      <w:b/>
                      <w:sz w:val="21"/>
                    </w:rPr>
                    <w:t>35公里以上加收费用（元/车·公里）</w:t>
                  </w:r>
                </w:p>
              </w:tc>
              <w:tc>
                <w:tcPr>
                  <w:tcW w:w="587" w:type="dxa"/>
                  <w:vMerge w:val="restart"/>
                  <w:tcBorders>
                    <w:top w:val="single" w:color="000000" w:sz="4" w:space="0"/>
                    <w:left w:val="nil"/>
                    <w:bottom w:val="nil"/>
                    <w:right w:val="single" w:color="000000" w:sz="4" w:space="0"/>
                  </w:tcBorders>
                  <w:vAlign w:val="top"/>
                </w:tcPr>
                <w:p w14:paraId="434BDAC0">
                  <w:pPr>
                    <w:jc w:val="center"/>
                  </w:pPr>
                  <w:r>
                    <w:rPr>
                      <w:sz w:val="24"/>
                    </w:rPr>
                    <w:t>/</w:t>
                  </w:r>
                </w:p>
              </w:tc>
            </w:tr>
            <w:tr w14:paraId="755BC9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6CBD0555">
                  <w:pPr>
                    <w:jc w:val="center"/>
                  </w:pPr>
                  <w:r>
                    <w:rPr>
                      <w:sz w:val="21"/>
                    </w:rPr>
                    <w:t>自行车</w:t>
                  </w:r>
                </w:p>
              </w:tc>
              <w:tc>
                <w:tcPr>
                  <w:tcW w:w="773" w:type="dxa"/>
                  <w:tcBorders>
                    <w:top w:val="nil"/>
                    <w:left w:val="nil"/>
                    <w:bottom w:val="single" w:color="000000" w:sz="4" w:space="0"/>
                    <w:right w:val="single" w:color="000000" w:sz="4" w:space="0"/>
                  </w:tcBorders>
                  <w:vAlign w:val="top"/>
                </w:tcPr>
                <w:p w14:paraId="750A40D9">
                  <w:pPr>
                    <w:jc w:val="center"/>
                  </w:pPr>
                  <w:r>
                    <w:rPr>
                      <w:sz w:val="21"/>
                    </w:rPr>
                    <w:t>元/车·次</w:t>
                  </w:r>
                </w:p>
              </w:tc>
              <w:tc>
                <w:tcPr>
                  <w:tcW w:w="972" w:type="dxa"/>
                  <w:tcBorders>
                    <w:top w:val="nil"/>
                    <w:left w:val="nil"/>
                    <w:bottom w:val="single" w:color="000000" w:sz="4" w:space="0"/>
                    <w:right w:val="single" w:color="000000" w:sz="4" w:space="0"/>
                  </w:tcBorders>
                  <w:vAlign w:val="top"/>
                </w:tcPr>
                <w:p w14:paraId="3606A78B">
                  <w:pPr>
                    <w:jc w:val="center"/>
                  </w:pPr>
                  <w:r>
                    <w:rPr>
                      <w:sz w:val="21"/>
                    </w:rPr>
                    <w:t>60</w:t>
                  </w:r>
                </w:p>
              </w:tc>
              <w:tc>
                <w:tcPr>
                  <w:tcW w:w="892" w:type="dxa"/>
                  <w:tcBorders>
                    <w:top w:val="nil"/>
                    <w:left w:val="nil"/>
                    <w:bottom w:val="single" w:color="000000" w:sz="4" w:space="0"/>
                    <w:right w:val="single" w:color="000000" w:sz="4" w:space="0"/>
                  </w:tcBorders>
                  <w:vAlign w:val="top"/>
                </w:tcPr>
                <w:p w14:paraId="6F4EDEE4">
                  <w:pPr>
                    <w:jc w:val="center"/>
                  </w:pPr>
                  <w:r>
                    <w:rPr>
                      <w:sz w:val="21"/>
                    </w:rPr>
                    <w:t>2</w:t>
                  </w:r>
                </w:p>
              </w:tc>
              <w:tc>
                <w:tcPr>
                  <w:tcW w:w="966" w:type="dxa"/>
                  <w:tcBorders>
                    <w:top w:val="nil"/>
                    <w:left w:val="nil"/>
                    <w:bottom w:val="single" w:color="000000" w:sz="4" w:space="0"/>
                    <w:right w:val="single" w:color="000000" w:sz="4" w:space="0"/>
                  </w:tcBorders>
                  <w:vAlign w:val="top"/>
                </w:tcPr>
                <w:p w14:paraId="4FBFEAF5">
                  <w:pPr>
                    <w:jc w:val="center"/>
                  </w:pPr>
                  <w:r>
                    <w:rPr>
                      <w:sz w:val="21"/>
                    </w:rPr>
                    <w:t>1</w:t>
                  </w:r>
                </w:p>
              </w:tc>
            </w:tr>
            <w:tr w14:paraId="597AFA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4A8DBA84">
                  <w:pPr>
                    <w:jc w:val="center"/>
                  </w:pPr>
                  <w:r>
                    <w:rPr>
                      <w:sz w:val="21"/>
                    </w:rPr>
                    <w:t>二轮摩托车、电动车</w:t>
                  </w:r>
                </w:p>
              </w:tc>
              <w:tc>
                <w:tcPr>
                  <w:tcW w:w="773" w:type="dxa"/>
                  <w:tcBorders>
                    <w:top w:val="nil"/>
                    <w:left w:val="nil"/>
                    <w:bottom w:val="single" w:color="000000" w:sz="4" w:space="0"/>
                    <w:right w:val="single" w:color="000000" w:sz="4" w:space="0"/>
                  </w:tcBorders>
                  <w:vAlign w:val="top"/>
                </w:tcPr>
                <w:p w14:paraId="38442317">
                  <w:pPr>
                    <w:jc w:val="center"/>
                  </w:pPr>
                  <w:r>
                    <w:rPr>
                      <w:sz w:val="21"/>
                    </w:rPr>
                    <w:t>元/车·次</w:t>
                  </w:r>
                </w:p>
              </w:tc>
              <w:tc>
                <w:tcPr>
                  <w:tcW w:w="972" w:type="dxa"/>
                  <w:tcBorders>
                    <w:top w:val="nil"/>
                    <w:left w:val="nil"/>
                    <w:bottom w:val="single" w:color="000000" w:sz="4" w:space="0"/>
                    <w:right w:val="single" w:color="000000" w:sz="4" w:space="0"/>
                  </w:tcBorders>
                  <w:vAlign w:val="top"/>
                </w:tcPr>
                <w:p w14:paraId="4DA1BAA6">
                  <w:pPr>
                    <w:jc w:val="center"/>
                  </w:pPr>
                  <w:r>
                    <w:rPr>
                      <w:sz w:val="21"/>
                    </w:rPr>
                    <w:t>160</w:t>
                  </w:r>
                </w:p>
              </w:tc>
              <w:tc>
                <w:tcPr>
                  <w:tcW w:w="892" w:type="dxa"/>
                  <w:tcBorders>
                    <w:top w:val="nil"/>
                    <w:left w:val="nil"/>
                    <w:bottom w:val="single" w:color="000000" w:sz="4" w:space="0"/>
                    <w:right w:val="single" w:color="000000" w:sz="4" w:space="0"/>
                  </w:tcBorders>
                  <w:vAlign w:val="top"/>
                </w:tcPr>
                <w:p w14:paraId="2286A4E8">
                  <w:pPr>
                    <w:jc w:val="center"/>
                  </w:pPr>
                  <w:r>
                    <w:rPr>
                      <w:sz w:val="21"/>
                    </w:rPr>
                    <w:t>5</w:t>
                  </w:r>
                </w:p>
              </w:tc>
              <w:tc>
                <w:tcPr>
                  <w:tcW w:w="966" w:type="dxa"/>
                  <w:tcBorders>
                    <w:top w:val="nil"/>
                    <w:left w:val="nil"/>
                    <w:bottom w:val="single" w:color="000000" w:sz="4" w:space="0"/>
                    <w:right w:val="single" w:color="000000" w:sz="4" w:space="0"/>
                  </w:tcBorders>
                  <w:vAlign w:val="top"/>
                </w:tcPr>
                <w:p w14:paraId="0D7568E9">
                  <w:pPr>
                    <w:jc w:val="center"/>
                  </w:pPr>
                  <w:r>
                    <w:rPr>
                      <w:sz w:val="21"/>
                    </w:rPr>
                    <w:t>4</w:t>
                  </w:r>
                </w:p>
              </w:tc>
            </w:tr>
            <w:tr w14:paraId="254DF5E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362F3A18">
                  <w:pPr>
                    <w:jc w:val="center"/>
                  </w:pPr>
                  <w:r>
                    <w:rPr>
                      <w:sz w:val="21"/>
                    </w:rPr>
                    <w:t>三轮摩托车</w:t>
                  </w:r>
                </w:p>
              </w:tc>
              <w:tc>
                <w:tcPr>
                  <w:tcW w:w="773" w:type="dxa"/>
                  <w:tcBorders>
                    <w:top w:val="nil"/>
                    <w:left w:val="nil"/>
                    <w:bottom w:val="single" w:color="000000" w:sz="4" w:space="0"/>
                    <w:right w:val="single" w:color="000000" w:sz="4" w:space="0"/>
                  </w:tcBorders>
                  <w:vAlign w:val="top"/>
                </w:tcPr>
                <w:p w14:paraId="593F28B7">
                  <w:pPr>
                    <w:jc w:val="center"/>
                  </w:pPr>
                  <w:r>
                    <w:rPr>
                      <w:sz w:val="21"/>
                    </w:rPr>
                    <w:t>元/车·次</w:t>
                  </w:r>
                </w:p>
              </w:tc>
              <w:tc>
                <w:tcPr>
                  <w:tcW w:w="972" w:type="dxa"/>
                  <w:tcBorders>
                    <w:top w:val="nil"/>
                    <w:left w:val="nil"/>
                    <w:bottom w:val="single" w:color="000000" w:sz="4" w:space="0"/>
                    <w:right w:val="single" w:color="000000" w:sz="4" w:space="0"/>
                  </w:tcBorders>
                  <w:vAlign w:val="top"/>
                </w:tcPr>
                <w:p w14:paraId="4B0811D2">
                  <w:pPr>
                    <w:jc w:val="center"/>
                  </w:pPr>
                  <w:r>
                    <w:rPr>
                      <w:sz w:val="21"/>
                    </w:rPr>
                    <w:t>220</w:t>
                  </w:r>
                </w:p>
              </w:tc>
              <w:tc>
                <w:tcPr>
                  <w:tcW w:w="892" w:type="dxa"/>
                  <w:tcBorders>
                    <w:top w:val="nil"/>
                    <w:left w:val="nil"/>
                    <w:bottom w:val="single" w:color="000000" w:sz="4" w:space="0"/>
                    <w:right w:val="single" w:color="000000" w:sz="4" w:space="0"/>
                  </w:tcBorders>
                  <w:vAlign w:val="top"/>
                </w:tcPr>
                <w:p w14:paraId="1563C9B7">
                  <w:pPr>
                    <w:jc w:val="center"/>
                  </w:pPr>
                  <w:r>
                    <w:rPr>
                      <w:sz w:val="21"/>
                    </w:rPr>
                    <w:t>7</w:t>
                  </w:r>
                </w:p>
              </w:tc>
              <w:tc>
                <w:tcPr>
                  <w:tcW w:w="966" w:type="dxa"/>
                  <w:tcBorders>
                    <w:top w:val="nil"/>
                    <w:left w:val="nil"/>
                    <w:bottom w:val="single" w:color="000000" w:sz="4" w:space="0"/>
                    <w:right w:val="single" w:color="000000" w:sz="4" w:space="0"/>
                  </w:tcBorders>
                  <w:vAlign w:val="top"/>
                </w:tcPr>
                <w:p w14:paraId="417333F3">
                  <w:pPr>
                    <w:jc w:val="center"/>
                  </w:pPr>
                  <w:r>
                    <w:rPr>
                      <w:sz w:val="21"/>
                    </w:rPr>
                    <w:t>6</w:t>
                  </w:r>
                </w:p>
              </w:tc>
            </w:tr>
            <w:tr w14:paraId="7443C8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4B0790A3">
                  <w:pPr>
                    <w:jc w:val="center"/>
                  </w:pPr>
                  <w:r>
                    <w:rPr>
                      <w:sz w:val="21"/>
                    </w:rPr>
                    <w:t>7座以下（含7座）客车、2吨（含2吨）以下货车</w:t>
                  </w:r>
                </w:p>
              </w:tc>
              <w:tc>
                <w:tcPr>
                  <w:tcW w:w="773" w:type="dxa"/>
                  <w:tcBorders>
                    <w:top w:val="nil"/>
                    <w:left w:val="nil"/>
                    <w:bottom w:val="single" w:color="000000" w:sz="4" w:space="0"/>
                    <w:right w:val="single" w:color="000000" w:sz="4" w:space="0"/>
                  </w:tcBorders>
                  <w:vAlign w:val="top"/>
                </w:tcPr>
                <w:p w14:paraId="4518821C">
                  <w:pPr>
                    <w:jc w:val="center"/>
                  </w:pPr>
                  <w:r>
                    <w:rPr>
                      <w:sz w:val="21"/>
                    </w:rPr>
                    <w:t>元/车·次</w:t>
                  </w:r>
                </w:p>
              </w:tc>
              <w:tc>
                <w:tcPr>
                  <w:tcW w:w="972" w:type="dxa"/>
                  <w:tcBorders>
                    <w:top w:val="nil"/>
                    <w:left w:val="nil"/>
                    <w:bottom w:val="single" w:color="000000" w:sz="4" w:space="0"/>
                    <w:right w:val="single" w:color="000000" w:sz="4" w:space="0"/>
                  </w:tcBorders>
                  <w:vAlign w:val="top"/>
                </w:tcPr>
                <w:p w14:paraId="02F0BFEC">
                  <w:pPr>
                    <w:jc w:val="center"/>
                  </w:pPr>
                  <w:r>
                    <w:rPr>
                      <w:sz w:val="21"/>
                    </w:rPr>
                    <w:t>460</w:t>
                  </w:r>
                </w:p>
              </w:tc>
              <w:tc>
                <w:tcPr>
                  <w:tcW w:w="892" w:type="dxa"/>
                  <w:tcBorders>
                    <w:top w:val="nil"/>
                    <w:left w:val="nil"/>
                    <w:bottom w:val="single" w:color="000000" w:sz="4" w:space="0"/>
                    <w:right w:val="single" w:color="000000" w:sz="4" w:space="0"/>
                  </w:tcBorders>
                  <w:vAlign w:val="top"/>
                </w:tcPr>
                <w:p w14:paraId="1385EE08">
                  <w:pPr>
                    <w:jc w:val="center"/>
                  </w:pPr>
                  <w:r>
                    <w:rPr>
                      <w:sz w:val="21"/>
                    </w:rPr>
                    <w:t>10</w:t>
                  </w:r>
                </w:p>
              </w:tc>
              <w:tc>
                <w:tcPr>
                  <w:tcW w:w="966" w:type="dxa"/>
                  <w:tcBorders>
                    <w:top w:val="nil"/>
                    <w:left w:val="nil"/>
                    <w:bottom w:val="single" w:color="000000" w:sz="4" w:space="0"/>
                    <w:right w:val="single" w:color="000000" w:sz="4" w:space="0"/>
                  </w:tcBorders>
                  <w:vAlign w:val="top"/>
                </w:tcPr>
                <w:p w14:paraId="650D8CA7">
                  <w:pPr>
                    <w:jc w:val="center"/>
                  </w:pPr>
                  <w:r>
                    <w:rPr>
                      <w:sz w:val="21"/>
                    </w:rPr>
                    <w:t>8</w:t>
                  </w:r>
                </w:p>
              </w:tc>
            </w:tr>
            <w:tr w14:paraId="5A8CA8A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6973DEBD">
                  <w:pPr>
                    <w:jc w:val="center"/>
                  </w:pPr>
                  <w:r>
                    <w:rPr>
                      <w:sz w:val="21"/>
                    </w:rPr>
                    <w:t>8座以上至19座（含19座）以下客车、2吨以上至5吨（含5吨）货车</w:t>
                  </w:r>
                </w:p>
              </w:tc>
              <w:tc>
                <w:tcPr>
                  <w:tcW w:w="773" w:type="dxa"/>
                  <w:tcBorders>
                    <w:top w:val="nil"/>
                    <w:left w:val="nil"/>
                    <w:bottom w:val="single" w:color="000000" w:sz="4" w:space="0"/>
                    <w:right w:val="single" w:color="000000" w:sz="4" w:space="0"/>
                  </w:tcBorders>
                  <w:vAlign w:val="top"/>
                </w:tcPr>
                <w:p w14:paraId="4DA33905">
                  <w:pPr>
                    <w:jc w:val="center"/>
                  </w:pPr>
                  <w:r>
                    <w:rPr>
                      <w:sz w:val="21"/>
                    </w:rPr>
                    <w:t>元/车·次</w:t>
                  </w:r>
                </w:p>
              </w:tc>
              <w:tc>
                <w:tcPr>
                  <w:tcW w:w="972" w:type="dxa"/>
                  <w:tcBorders>
                    <w:top w:val="nil"/>
                    <w:left w:val="nil"/>
                    <w:bottom w:val="single" w:color="000000" w:sz="4" w:space="0"/>
                    <w:right w:val="single" w:color="000000" w:sz="4" w:space="0"/>
                  </w:tcBorders>
                  <w:vAlign w:val="top"/>
                </w:tcPr>
                <w:p w14:paraId="0B1847E3">
                  <w:pPr>
                    <w:jc w:val="center"/>
                  </w:pPr>
                  <w:r>
                    <w:rPr>
                      <w:sz w:val="21"/>
                    </w:rPr>
                    <w:t>560</w:t>
                  </w:r>
                </w:p>
              </w:tc>
              <w:tc>
                <w:tcPr>
                  <w:tcW w:w="892" w:type="dxa"/>
                  <w:tcBorders>
                    <w:top w:val="nil"/>
                    <w:left w:val="nil"/>
                    <w:bottom w:val="single" w:color="000000" w:sz="4" w:space="0"/>
                    <w:right w:val="single" w:color="000000" w:sz="4" w:space="0"/>
                  </w:tcBorders>
                  <w:vAlign w:val="top"/>
                </w:tcPr>
                <w:p w14:paraId="051E59DE">
                  <w:pPr>
                    <w:jc w:val="center"/>
                  </w:pPr>
                  <w:r>
                    <w:rPr>
                      <w:sz w:val="21"/>
                    </w:rPr>
                    <w:t>15</w:t>
                  </w:r>
                </w:p>
              </w:tc>
              <w:tc>
                <w:tcPr>
                  <w:tcW w:w="966" w:type="dxa"/>
                  <w:tcBorders>
                    <w:top w:val="nil"/>
                    <w:left w:val="nil"/>
                    <w:bottom w:val="single" w:color="000000" w:sz="4" w:space="0"/>
                    <w:right w:val="single" w:color="000000" w:sz="4" w:space="0"/>
                  </w:tcBorders>
                  <w:vAlign w:val="top"/>
                </w:tcPr>
                <w:p w14:paraId="73D4E60B">
                  <w:pPr>
                    <w:jc w:val="center"/>
                  </w:pPr>
                  <w:r>
                    <w:rPr>
                      <w:sz w:val="21"/>
                    </w:rPr>
                    <w:t>12</w:t>
                  </w:r>
                </w:p>
              </w:tc>
            </w:tr>
            <w:tr w14:paraId="65697E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7E9C32FD">
                  <w:pPr>
                    <w:jc w:val="center"/>
                  </w:pPr>
                  <w:r>
                    <w:rPr>
                      <w:sz w:val="21"/>
                    </w:rPr>
                    <w:t>20座以上至39座（含39座以下客车、5吨以上至10吨（含10吨）货车</w:t>
                  </w:r>
                </w:p>
              </w:tc>
              <w:tc>
                <w:tcPr>
                  <w:tcW w:w="773" w:type="dxa"/>
                  <w:tcBorders>
                    <w:top w:val="nil"/>
                    <w:left w:val="nil"/>
                    <w:bottom w:val="single" w:color="000000" w:sz="4" w:space="0"/>
                    <w:right w:val="single" w:color="000000" w:sz="4" w:space="0"/>
                  </w:tcBorders>
                  <w:vAlign w:val="top"/>
                </w:tcPr>
                <w:p w14:paraId="2E76B572">
                  <w:pPr>
                    <w:jc w:val="center"/>
                  </w:pPr>
                  <w:r>
                    <w:rPr>
                      <w:sz w:val="21"/>
                    </w:rPr>
                    <w:t>元/车·次</w:t>
                  </w:r>
                </w:p>
              </w:tc>
              <w:tc>
                <w:tcPr>
                  <w:tcW w:w="972" w:type="dxa"/>
                  <w:tcBorders>
                    <w:top w:val="nil"/>
                    <w:left w:val="nil"/>
                    <w:bottom w:val="single" w:color="000000" w:sz="4" w:space="0"/>
                    <w:right w:val="single" w:color="000000" w:sz="4" w:space="0"/>
                  </w:tcBorders>
                  <w:vAlign w:val="top"/>
                </w:tcPr>
                <w:p w14:paraId="18302644">
                  <w:pPr>
                    <w:jc w:val="center"/>
                  </w:pPr>
                  <w:r>
                    <w:rPr>
                      <w:sz w:val="21"/>
                    </w:rPr>
                    <w:t>680</w:t>
                  </w:r>
                </w:p>
              </w:tc>
              <w:tc>
                <w:tcPr>
                  <w:tcW w:w="892" w:type="dxa"/>
                  <w:tcBorders>
                    <w:top w:val="nil"/>
                    <w:left w:val="nil"/>
                    <w:bottom w:val="single" w:color="000000" w:sz="4" w:space="0"/>
                    <w:right w:val="single" w:color="000000" w:sz="4" w:space="0"/>
                  </w:tcBorders>
                  <w:vAlign w:val="top"/>
                </w:tcPr>
                <w:p w14:paraId="4499548A">
                  <w:pPr>
                    <w:jc w:val="center"/>
                  </w:pPr>
                  <w:r>
                    <w:rPr>
                      <w:sz w:val="21"/>
                    </w:rPr>
                    <w:t>17</w:t>
                  </w:r>
                </w:p>
              </w:tc>
              <w:tc>
                <w:tcPr>
                  <w:tcW w:w="966" w:type="dxa"/>
                  <w:tcBorders>
                    <w:top w:val="nil"/>
                    <w:left w:val="nil"/>
                    <w:bottom w:val="single" w:color="000000" w:sz="4" w:space="0"/>
                    <w:right w:val="single" w:color="000000" w:sz="4" w:space="0"/>
                  </w:tcBorders>
                  <w:vAlign w:val="top"/>
                </w:tcPr>
                <w:p w14:paraId="5CD7ECB6">
                  <w:pPr>
                    <w:jc w:val="center"/>
                  </w:pPr>
                  <w:r>
                    <w:rPr>
                      <w:sz w:val="21"/>
                    </w:rPr>
                    <w:t>14</w:t>
                  </w:r>
                </w:p>
              </w:tc>
            </w:tr>
            <w:tr w14:paraId="6BBF80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441EC0CA">
                  <w:pPr>
                    <w:jc w:val="center"/>
                  </w:pPr>
                  <w:r>
                    <w:rPr>
                      <w:sz w:val="21"/>
                    </w:rPr>
                    <w:t>40座（含40座）以上客车、10吨以上至15吨（含15吨）货车、20英尺集装箱车</w:t>
                  </w:r>
                </w:p>
              </w:tc>
              <w:tc>
                <w:tcPr>
                  <w:tcW w:w="773" w:type="dxa"/>
                  <w:tcBorders>
                    <w:top w:val="nil"/>
                    <w:left w:val="nil"/>
                    <w:bottom w:val="single" w:color="000000" w:sz="4" w:space="0"/>
                    <w:right w:val="single" w:color="000000" w:sz="4" w:space="0"/>
                  </w:tcBorders>
                  <w:vAlign w:val="top"/>
                </w:tcPr>
                <w:p w14:paraId="6A90F008">
                  <w:pPr>
                    <w:jc w:val="center"/>
                  </w:pPr>
                  <w:r>
                    <w:rPr>
                      <w:sz w:val="21"/>
                    </w:rPr>
                    <w:t>元/车·次</w:t>
                  </w:r>
                </w:p>
              </w:tc>
              <w:tc>
                <w:tcPr>
                  <w:tcW w:w="972" w:type="dxa"/>
                  <w:tcBorders>
                    <w:top w:val="nil"/>
                    <w:left w:val="nil"/>
                    <w:bottom w:val="single" w:color="000000" w:sz="4" w:space="0"/>
                    <w:right w:val="single" w:color="000000" w:sz="4" w:space="0"/>
                  </w:tcBorders>
                  <w:vAlign w:val="top"/>
                </w:tcPr>
                <w:p w14:paraId="73557846">
                  <w:pPr>
                    <w:jc w:val="center"/>
                  </w:pPr>
                  <w:r>
                    <w:rPr>
                      <w:sz w:val="21"/>
                    </w:rPr>
                    <w:t>820</w:t>
                  </w:r>
                </w:p>
              </w:tc>
              <w:tc>
                <w:tcPr>
                  <w:tcW w:w="892" w:type="dxa"/>
                  <w:tcBorders>
                    <w:top w:val="nil"/>
                    <w:left w:val="nil"/>
                    <w:bottom w:val="single" w:color="000000" w:sz="4" w:space="0"/>
                    <w:right w:val="single" w:color="000000" w:sz="4" w:space="0"/>
                  </w:tcBorders>
                  <w:vAlign w:val="top"/>
                </w:tcPr>
                <w:p w14:paraId="2F207F6A">
                  <w:pPr>
                    <w:jc w:val="center"/>
                  </w:pPr>
                  <w:r>
                    <w:rPr>
                      <w:sz w:val="21"/>
                    </w:rPr>
                    <w:t>20</w:t>
                  </w:r>
                </w:p>
              </w:tc>
              <w:tc>
                <w:tcPr>
                  <w:tcW w:w="966" w:type="dxa"/>
                  <w:tcBorders>
                    <w:top w:val="nil"/>
                    <w:left w:val="nil"/>
                    <w:bottom w:val="single" w:color="000000" w:sz="4" w:space="0"/>
                    <w:right w:val="single" w:color="000000" w:sz="4" w:space="0"/>
                  </w:tcBorders>
                  <w:vAlign w:val="top"/>
                </w:tcPr>
                <w:p w14:paraId="2E58F26F">
                  <w:pPr>
                    <w:jc w:val="center"/>
                  </w:pPr>
                  <w:r>
                    <w:rPr>
                      <w:sz w:val="21"/>
                    </w:rPr>
                    <w:t>16</w:t>
                  </w:r>
                </w:p>
              </w:tc>
            </w:tr>
            <w:tr w14:paraId="6DFEA75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77951250">
                  <w:pPr>
                    <w:jc w:val="center"/>
                  </w:pPr>
                  <w:r>
                    <w:rPr>
                      <w:sz w:val="21"/>
                    </w:rPr>
                    <w:t>15吨以上至35吨（含35吨）货车、40英尺集装箱车</w:t>
                  </w:r>
                </w:p>
              </w:tc>
              <w:tc>
                <w:tcPr>
                  <w:tcW w:w="773" w:type="dxa"/>
                  <w:tcBorders>
                    <w:top w:val="nil"/>
                    <w:left w:val="nil"/>
                    <w:bottom w:val="single" w:color="000000" w:sz="4" w:space="0"/>
                    <w:right w:val="single" w:color="000000" w:sz="4" w:space="0"/>
                  </w:tcBorders>
                  <w:vAlign w:val="top"/>
                </w:tcPr>
                <w:p w14:paraId="4BFB734C">
                  <w:pPr>
                    <w:jc w:val="center"/>
                  </w:pPr>
                  <w:r>
                    <w:rPr>
                      <w:sz w:val="21"/>
                    </w:rPr>
                    <w:t>元/车·次</w:t>
                  </w:r>
                </w:p>
              </w:tc>
              <w:tc>
                <w:tcPr>
                  <w:tcW w:w="972" w:type="dxa"/>
                  <w:tcBorders>
                    <w:top w:val="nil"/>
                    <w:left w:val="nil"/>
                    <w:bottom w:val="single" w:color="000000" w:sz="4" w:space="0"/>
                    <w:right w:val="single" w:color="000000" w:sz="4" w:space="0"/>
                  </w:tcBorders>
                  <w:vAlign w:val="top"/>
                </w:tcPr>
                <w:p w14:paraId="53742682">
                  <w:pPr>
                    <w:jc w:val="center"/>
                  </w:pPr>
                  <w:r>
                    <w:rPr>
                      <w:sz w:val="21"/>
                    </w:rPr>
                    <w:t>980</w:t>
                  </w:r>
                </w:p>
              </w:tc>
              <w:tc>
                <w:tcPr>
                  <w:tcW w:w="892" w:type="dxa"/>
                  <w:tcBorders>
                    <w:top w:val="nil"/>
                    <w:left w:val="nil"/>
                    <w:bottom w:val="single" w:color="000000" w:sz="4" w:space="0"/>
                    <w:right w:val="single" w:color="000000" w:sz="4" w:space="0"/>
                  </w:tcBorders>
                  <w:vAlign w:val="top"/>
                </w:tcPr>
                <w:p w14:paraId="535DF9B4">
                  <w:pPr>
                    <w:jc w:val="center"/>
                  </w:pPr>
                  <w:r>
                    <w:rPr>
                      <w:sz w:val="21"/>
                    </w:rPr>
                    <w:t>23</w:t>
                  </w:r>
                </w:p>
              </w:tc>
              <w:tc>
                <w:tcPr>
                  <w:tcW w:w="966" w:type="dxa"/>
                  <w:tcBorders>
                    <w:top w:val="nil"/>
                    <w:left w:val="nil"/>
                    <w:bottom w:val="single" w:color="000000" w:sz="4" w:space="0"/>
                    <w:right w:val="single" w:color="000000" w:sz="4" w:space="0"/>
                  </w:tcBorders>
                  <w:vAlign w:val="top"/>
                </w:tcPr>
                <w:p w14:paraId="32218C33">
                  <w:pPr>
                    <w:jc w:val="center"/>
                  </w:pPr>
                  <w:r>
                    <w:rPr>
                      <w:sz w:val="21"/>
                    </w:rPr>
                    <w:t>18</w:t>
                  </w:r>
                </w:p>
              </w:tc>
            </w:tr>
            <w:tr w14:paraId="6ADD34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574" w:type="dxa"/>
              </w:trPr>
              <w:tc>
                <w:tcPr>
                  <w:tcW w:w="1408" w:type="dxa"/>
                  <w:tcBorders>
                    <w:top w:val="nil"/>
                    <w:left w:val="single" w:color="000000" w:sz="4" w:space="0"/>
                    <w:bottom w:val="single" w:color="000000" w:sz="4" w:space="0"/>
                    <w:right w:val="single" w:color="000000" w:sz="4" w:space="0"/>
                  </w:tcBorders>
                  <w:vAlign w:val="top"/>
                </w:tcPr>
                <w:p w14:paraId="35DDB7F6">
                  <w:pPr>
                    <w:jc w:val="center"/>
                  </w:pPr>
                  <w:r>
                    <w:rPr>
                      <w:sz w:val="21"/>
                    </w:rPr>
                    <w:t>35吨以上货车</w:t>
                  </w:r>
                </w:p>
              </w:tc>
              <w:tc>
                <w:tcPr>
                  <w:tcW w:w="773" w:type="dxa"/>
                  <w:tcBorders>
                    <w:top w:val="nil"/>
                    <w:left w:val="nil"/>
                    <w:bottom w:val="single" w:color="000000" w:sz="4" w:space="0"/>
                    <w:right w:val="single" w:color="000000" w:sz="4" w:space="0"/>
                  </w:tcBorders>
                  <w:vAlign w:val="top"/>
                </w:tcPr>
                <w:p w14:paraId="0447774F">
                  <w:pPr>
                    <w:jc w:val="center"/>
                  </w:pPr>
                  <w:r>
                    <w:rPr>
                      <w:sz w:val="21"/>
                    </w:rPr>
                    <w:t>元/车·次</w:t>
                  </w:r>
                </w:p>
              </w:tc>
              <w:tc>
                <w:tcPr>
                  <w:tcW w:w="972" w:type="dxa"/>
                  <w:tcBorders>
                    <w:top w:val="nil"/>
                    <w:left w:val="nil"/>
                    <w:bottom w:val="single" w:color="000000" w:sz="4" w:space="0"/>
                    <w:right w:val="single" w:color="000000" w:sz="4" w:space="0"/>
                  </w:tcBorders>
                  <w:vAlign w:val="top"/>
                </w:tcPr>
                <w:p w14:paraId="7622F9D0">
                  <w:pPr>
                    <w:jc w:val="center"/>
                  </w:pPr>
                  <w:r>
                    <w:rPr>
                      <w:sz w:val="21"/>
                    </w:rPr>
                    <w:t>1200</w:t>
                  </w:r>
                </w:p>
              </w:tc>
              <w:tc>
                <w:tcPr>
                  <w:tcW w:w="892" w:type="dxa"/>
                  <w:tcBorders>
                    <w:top w:val="nil"/>
                    <w:left w:val="nil"/>
                    <w:bottom w:val="single" w:color="000000" w:sz="4" w:space="0"/>
                    <w:right w:val="single" w:color="000000" w:sz="4" w:space="0"/>
                  </w:tcBorders>
                  <w:vAlign w:val="top"/>
                </w:tcPr>
                <w:p w14:paraId="687D7CE3">
                  <w:pPr>
                    <w:jc w:val="center"/>
                  </w:pPr>
                  <w:r>
                    <w:rPr>
                      <w:sz w:val="21"/>
                    </w:rPr>
                    <w:t>26</w:t>
                  </w:r>
                </w:p>
              </w:tc>
              <w:tc>
                <w:tcPr>
                  <w:tcW w:w="966" w:type="dxa"/>
                  <w:tcBorders>
                    <w:top w:val="nil"/>
                    <w:left w:val="nil"/>
                    <w:bottom w:val="single" w:color="000000" w:sz="4" w:space="0"/>
                    <w:right w:val="single" w:color="000000" w:sz="4" w:space="0"/>
                  </w:tcBorders>
                  <w:vAlign w:val="top"/>
                </w:tcPr>
                <w:p w14:paraId="020766A7">
                  <w:pPr>
                    <w:jc w:val="center"/>
                  </w:pPr>
                  <w:r>
                    <w:rPr>
                      <w:sz w:val="21"/>
                    </w:rPr>
                    <w:t>20</w:t>
                  </w:r>
                </w:p>
              </w:tc>
            </w:tr>
          </w:tbl>
          <w:p w14:paraId="0260E90C"/>
        </w:tc>
      </w:tr>
      <w:tr w14:paraId="05CDB0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984156B"/>
        </w:tc>
        <w:tc>
          <w:tcPr>
            <w:tcW w:w="415" w:type="dxa"/>
          </w:tcPr>
          <w:p w14:paraId="16891D48">
            <w:r>
              <w:t>3</w:t>
            </w:r>
          </w:p>
        </w:tc>
        <w:tc>
          <w:tcPr>
            <w:tcW w:w="5814" w:type="dxa"/>
          </w:tcPr>
          <w:p w14:paraId="4ADED5F3">
            <w:pPr>
              <w:jc w:val="center"/>
            </w:pPr>
            <w:r>
              <w:rPr>
                <w:b/>
                <w:sz w:val="21"/>
              </w:rPr>
              <w:t>交通违法、事故车辆停放保管服务收费标准</w:t>
            </w:r>
          </w:p>
          <w:tbl>
            <w:tblPr>
              <w:tblStyle w:val="2"/>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182"/>
              <w:gridCol w:w="789"/>
              <w:gridCol w:w="1075"/>
              <w:gridCol w:w="427"/>
            </w:tblGrid>
            <w:tr w14:paraId="640E1E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3284" w:type="dxa"/>
                  <w:tcBorders>
                    <w:top w:val="single" w:color="000000" w:sz="4" w:space="0"/>
                    <w:left w:val="single" w:color="000000" w:sz="4" w:space="0"/>
                    <w:bottom w:val="single" w:color="000000" w:sz="4" w:space="0"/>
                    <w:right w:val="single" w:color="000000" w:sz="4" w:space="0"/>
                  </w:tcBorders>
                  <w:vAlign w:val="top"/>
                </w:tcPr>
                <w:p w14:paraId="2967E740">
                  <w:pPr>
                    <w:jc w:val="center"/>
                  </w:pPr>
                  <w:r>
                    <w:rPr>
                      <w:b/>
                      <w:sz w:val="21"/>
                    </w:rPr>
                    <w:t>项目内容</w:t>
                  </w:r>
                </w:p>
              </w:tc>
              <w:tc>
                <w:tcPr>
                  <w:tcW w:w="804" w:type="dxa"/>
                  <w:tcBorders>
                    <w:top w:val="single" w:color="000000" w:sz="4" w:space="0"/>
                    <w:left w:val="nil"/>
                    <w:bottom w:val="single" w:color="000000" w:sz="4" w:space="0"/>
                    <w:right w:val="single" w:color="000000" w:sz="4" w:space="0"/>
                  </w:tcBorders>
                  <w:vAlign w:val="top"/>
                </w:tcPr>
                <w:p w14:paraId="51A63EF7">
                  <w:pPr>
                    <w:jc w:val="center"/>
                  </w:pPr>
                  <w:r>
                    <w:rPr>
                      <w:b/>
                      <w:sz w:val="21"/>
                    </w:rPr>
                    <w:t>计算单位</w:t>
                  </w:r>
                </w:p>
              </w:tc>
              <w:tc>
                <w:tcPr>
                  <w:tcW w:w="1084" w:type="dxa"/>
                  <w:tcBorders>
                    <w:top w:val="single" w:color="000000" w:sz="4" w:space="0"/>
                    <w:left w:val="nil"/>
                    <w:bottom w:val="single" w:color="000000" w:sz="4" w:space="0"/>
                    <w:right w:val="single" w:color="000000" w:sz="4" w:space="0"/>
                  </w:tcBorders>
                  <w:vAlign w:val="top"/>
                </w:tcPr>
                <w:p w14:paraId="01FC774E">
                  <w:pPr>
                    <w:jc w:val="center"/>
                  </w:pPr>
                  <w:r>
                    <w:rPr>
                      <w:b/>
                      <w:sz w:val="21"/>
                    </w:rPr>
                    <w:t>收费（元）</w:t>
                  </w:r>
                </w:p>
              </w:tc>
              <w:tc>
                <w:tcPr>
                  <w:tcW w:w="424" w:type="dxa"/>
                  <w:tcBorders>
                    <w:top w:val="single" w:color="000000" w:sz="4" w:space="0"/>
                    <w:left w:val="nil"/>
                    <w:bottom w:val="single" w:color="000000" w:sz="4" w:space="0"/>
                    <w:right w:val="single" w:color="000000" w:sz="4" w:space="0"/>
                  </w:tcBorders>
                  <w:vAlign w:val="top"/>
                </w:tcPr>
                <w:p w14:paraId="2B0C13AC">
                  <w:pPr>
                    <w:jc w:val="center"/>
                  </w:pPr>
                  <w:r>
                    <w:rPr>
                      <w:b/>
                      <w:sz w:val="21"/>
                    </w:rPr>
                    <w:t>备注</w:t>
                  </w:r>
                </w:p>
              </w:tc>
            </w:tr>
            <w:tr w14:paraId="525DBA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284" w:type="dxa"/>
                  <w:tcBorders>
                    <w:top w:val="nil"/>
                    <w:left w:val="single" w:color="000000" w:sz="4" w:space="0"/>
                    <w:bottom w:val="single" w:color="000000" w:sz="4" w:space="0"/>
                    <w:right w:val="single" w:color="000000" w:sz="4" w:space="0"/>
                  </w:tcBorders>
                  <w:vAlign w:val="top"/>
                </w:tcPr>
                <w:p w14:paraId="1D78DA82">
                  <w:pPr>
                    <w:jc w:val="center"/>
                  </w:pPr>
                  <w:r>
                    <w:rPr>
                      <w:sz w:val="21"/>
                    </w:rPr>
                    <w:t>二轮摩托车、电动车、三轮摩托车（含残疾人车）</w:t>
                  </w:r>
                </w:p>
              </w:tc>
              <w:tc>
                <w:tcPr>
                  <w:tcW w:w="804" w:type="dxa"/>
                  <w:tcBorders>
                    <w:top w:val="nil"/>
                    <w:left w:val="nil"/>
                    <w:bottom w:val="single" w:color="000000" w:sz="4" w:space="0"/>
                    <w:right w:val="single" w:color="000000" w:sz="4" w:space="0"/>
                  </w:tcBorders>
                  <w:vAlign w:val="top"/>
                </w:tcPr>
                <w:p w14:paraId="312DEBCA">
                  <w:pPr>
                    <w:jc w:val="center"/>
                  </w:pPr>
                  <w:r>
                    <w:rPr>
                      <w:sz w:val="21"/>
                    </w:rPr>
                    <w:t>辆/天</w:t>
                  </w:r>
                </w:p>
              </w:tc>
              <w:tc>
                <w:tcPr>
                  <w:tcW w:w="1084" w:type="dxa"/>
                  <w:tcBorders>
                    <w:top w:val="nil"/>
                    <w:left w:val="nil"/>
                    <w:bottom w:val="single" w:color="000000" w:sz="4" w:space="0"/>
                    <w:right w:val="single" w:color="000000" w:sz="4" w:space="0"/>
                  </w:tcBorders>
                  <w:vAlign w:val="top"/>
                </w:tcPr>
                <w:p w14:paraId="72000AEE">
                  <w:pPr>
                    <w:jc w:val="center"/>
                  </w:pPr>
                  <w:r>
                    <w:rPr>
                      <w:sz w:val="21"/>
                    </w:rPr>
                    <w:t>5</w:t>
                  </w:r>
                </w:p>
              </w:tc>
              <w:tc>
                <w:tcPr>
                  <w:tcW w:w="424" w:type="dxa"/>
                  <w:vMerge w:val="restart"/>
                  <w:tcBorders>
                    <w:top w:val="nil"/>
                    <w:left w:val="nil"/>
                    <w:bottom w:val="nil"/>
                    <w:right w:val="single" w:color="000000" w:sz="4" w:space="0"/>
                  </w:tcBorders>
                  <w:vAlign w:val="top"/>
                </w:tcPr>
                <w:p w14:paraId="5FB2F5CC">
                  <w:pPr>
                    <w:jc w:val="center"/>
                  </w:pPr>
                  <w:r>
                    <w:rPr>
                      <w:sz w:val="24"/>
                    </w:rPr>
                    <w:t>/</w:t>
                  </w:r>
                </w:p>
              </w:tc>
            </w:tr>
            <w:tr w14:paraId="55BC37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427" w:type="dxa"/>
              </w:trPr>
              <w:tc>
                <w:tcPr>
                  <w:tcW w:w="3284" w:type="dxa"/>
                  <w:tcBorders>
                    <w:top w:val="nil"/>
                    <w:left w:val="single" w:color="000000" w:sz="4" w:space="0"/>
                    <w:bottom w:val="single" w:color="000000" w:sz="4" w:space="0"/>
                    <w:right w:val="single" w:color="000000" w:sz="4" w:space="0"/>
                  </w:tcBorders>
                  <w:vAlign w:val="top"/>
                </w:tcPr>
                <w:p w14:paraId="7C44A418">
                  <w:pPr>
                    <w:jc w:val="center"/>
                  </w:pPr>
                  <w:r>
                    <w:rPr>
                      <w:sz w:val="21"/>
                    </w:rPr>
                    <w:t>8吨以下（含8吨）货车和所有客车</w:t>
                  </w:r>
                </w:p>
              </w:tc>
              <w:tc>
                <w:tcPr>
                  <w:tcW w:w="804" w:type="dxa"/>
                  <w:tcBorders>
                    <w:top w:val="nil"/>
                    <w:left w:val="nil"/>
                    <w:bottom w:val="single" w:color="000000" w:sz="4" w:space="0"/>
                    <w:right w:val="single" w:color="000000" w:sz="4" w:space="0"/>
                  </w:tcBorders>
                  <w:vAlign w:val="top"/>
                </w:tcPr>
                <w:p w14:paraId="25EABC22">
                  <w:pPr>
                    <w:jc w:val="center"/>
                  </w:pPr>
                  <w:r>
                    <w:rPr>
                      <w:sz w:val="21"/>
                    </w:rPr>
                    <w:t>辆/天</w:t>
                  </w:r>
                </w:p>
              </w:tc>
              <w:tc>
                <w:tcPr>
                  <w:tcW w:w="1084" w:type="dxa"/>
                  <w:tcBorders>
                    <w:top w:val="nil"/>
                    <w:left w:val="nil"/>
                    <w:bottom w:val="single" w:color="000000" w:sz="4" w:space="0"/>
                    <w:right w:val="single" w:color="000000" w:sz="4" w:space="0"/>
                  </w:tcBorders>
                  <w:vAlign w:val="top"/>
                </w:tcPr>
                <w:p w14:paraId="0B8C9F58">
                  <w:pPr>
                    <w:jc w:val="center"/>
                  </w:pPr>
                  <w:r>
                    <w:rPr>
                      <w:sz w:val="21"/>
                    </w:rPr>
                    <w:t>20</w:t>
                  </w:r>
                </w:p>
              </w:tc>
            </w:tr>
            <w:tr w14:paraId="689B02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427" w:type="dxa"/>
              </w:trPr>
              <w:tc>
                <w:tcPr>
                  <w:tcW w:w="3284" w:type="dxa"/>
                  <w:tcBorders>
                    <w:top w:val="nil"/>
                    <w:left w:val="single" w:color="000000" w:sz="4" w:space="0"/>
                    <w:bottom w:val="single" w:color="000000" w:sz="4" w:space="0"/>
                    <w:right w:val="single" w:color="000000" w:sz="4" w:space="0"/>
                  </w:tcBorders>
                  <w:vAlign w:val="top"/>
                </w:tcPr>
                <w:p w14:paraId="1ADD5E0F">
                  <w:pPr>
                    <w:jc w:val="center"/>
                  </w:pPr>
                  <w:r>
                    <w:rPr>
                      <w:sz w:val="21"/>
                    </w:rPr>
                    <w:t>8吨以上至15吨（含15吨）货车</w:t>
                  </w:r>
                </w:p>
              </w:tc>
              <w:tc>
                <w:tcPr>
                  <w:tcW w:w="804" w:type="dxa"/>
                  <w:tcBorders>
                    <w:top w:val="nil"/>
                    <w:left w:val="nil"/>
                    <w:bottom w:val="single" w:color="000000" w:sz="4" w:space="0"/>
                    <w:right w:val="single" w:color="000000" w:sz="4" w:space="0"/>
                  </w:tcBorders>
                  <w:vAlign w:val="top"/>
                </w:tcPr>
                <w:p w14:paraId="740A17DA">
                  <w:pPr>
                    <w:jc w:val="center"/>
                  </w:pPr>
                  <w:r>
                    <w:rPr>
                      <w:sz w:val="21"/>
                    </w:rPr>
                    <w:t>辆/天</w:t>
                  </w:r>
                </w:p>
              </w:tc>
              <w:tc>
                <w:tcPr>
                  <w:tcW w:w="1084" w:type="dxa"/>
                  <w:tcBorders>
                    <w:top w:val="nil"/>
                    <w:left w:val="nil"/>
                    <w:bottom w:val="single" w:color="000000" w:sz="4" w:space="0"/>
                    <w:right w:val="single" w:color="000000" w:sz="4" w:space="0"/>
                  </w:tcBorders>
                  <w:vAlign w:val="top"/>
                </w:tcPr>
                <w:p w14:paraId="6E05D30A">
                  <w:pPr>
                    <w:jc w:val="center"/>
                  </w:pPr>
                  <w:r>
                    <w:rPr>
                      <w:sz w:val="21"/>
                    </w:rPr>
                    <w:t>25</w:t>
                  </w:r>
                </w:p>
              </w:tc>
            </w:tr>
            <w:tr w14:paraId="2D51E8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427" w:type="dxa"/>
              </w:trPr>
              <w:tc>
                <w:tcPr>
                  <w:tcW w:w="3284" w:type="dxa"/>
                  <w:tcBorders>
                    <w:top w:val="nil"/>
                    <w:left w:val="single" w:color="000000" w:sz="4" w:space="0"/>
                    <w:bottom w:val="single" w:color="000000" w:sz="4" w:space="0"/>
                    <w:right w:val="single" w:color="000000" w:sz="4" w:space="0"/>
                  </w:tcBorders>
                  <w:vAlign w:val="top"/>
                </w:tcPr>
                <w:p w14:paraId="5D70B20C">
                  <w:pPr>
                    <w:jc w:val="center"/>
                  </w:pPr>
                  <w:r>
                    <w:rPr>
                      <w:sz w:val="21"/>
                    </w:rPr>
                    <w:t>15吨以上至20吨（含20吨）货车</w:t>
                  </w:r>
                </w:p>
              </w:tc>
              <w:tc>
                <w:tcPr>
                  <w:tcW w:w="804" w:type="dxa"/>
                  <w:tcBorders>
                    <w:top w:val="nil"/>
                    <w:left w:val="nil"/>
                    <w:bottom w:val="single" w:color="000000" w:sz="4" w:space="0"/>
                    <w:right w:val="single" w:color="000000" w:sz="4" w:space="0"/>
                  </w:tcBorders>
                  <w:vAlign w:val="top"/>
                </w:tcPr>
                <w:p w14:paraId="08CE6D44">
                  <w:pPr>
                    <w:jc w:val="center"/>
                  </w:pPr>
                  <w:r>
                    <w:rPr>
                      <w:sz w:val="21"/>
                    </w:rPr>
                    <w:t>辆/天</w:t>
                  </w:r>
                </w:p>
              </w:tc>
              <w:tc>
                <w:tcPr>
                  <w:tcW w:w="1084" w:type="dxa"/>
                  <w:tcBorders>
                    <w:top w:val="nil"/>
                    <w:left w:val="nil"/>
                    <w:bottom w:val="single" w:color="000000" w:sz="4" w:space="0"/>
                    <w:right w:val="single" w:color="000000" w:sz="4" w:space="0"/>
                  </w:tcBorders>
                  <w:vAlign w:val="top"/>
                </w:tcPr>
                <w:p w14:paraId="3688EC74">
                  <w:pPr>
                    <w:jc w:val="center"/>
                  </w:pPr>
                  <w:r>
                    <w:rPr>
                      <w:sz w:val="21"/>
                    </w:rPr>
                    <w:t>30</w:t>
                  </w:r>
                </w:p>
              </w:tc>
            </w:tr>
            <w:tr w14:paraId="62C4C4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427" w:type="dxa"/>
              </w:trPr>
              <w:tc>
                <w:tcPr>
                  <w:tcW w:w="3284" w:type="dxa"/>
                  <w:tcBorders>
                    <w:top w:val="nil"/>
                    <w:left w:val="single" w:color="000000" w:sz="4" w:space="0"/>
                    <w:bottom w:val="single" w:color="000000" w:sz="4" w:space="0"/>
                    <w:right w:val="single" w:color="000000" w:sz="4" w:space="0"/>
                  </w:tcBorders>
                  <w:vAlign w:val="top"/>
                </w:tcPr>
                <w:p w14:paraId="0B937DEF">
                  <w:pPr>
                    <w:jc w:val="center"/>
                  </w:pPr>
                  <w:r>
                    <w:rPr>
                      <w:sz w:val="21"/>
                    </w:rPr>
                    <w:t>20吨以上至40吨（含40吨）货车</w:t>
                  </w:r>
                </w:p>
              </w:tc>
              <w:tc>
                <w:tcPr>
                  <w:tcW w:w="804" w:type="dxa"/>
                  <w:tcBorders>
                    <w:top w:val="nil"/>
                    <w:left w:val="nil"/>
                    <w:bottom w:val="single" w:color="000000" w:sz="4" w:space="0"/>
                    <w:right w:val="single" w:color="000000" w:sz="4" w:space="0"/>
                  </w:tcBorders>
                  <w:vAlign w:val="top"/>
                </w:tcPr>
                <w:p w14:paraId="4CF156B8">
                  <w:pPr>
                    <w:jc w:val="center"/>
                  </w:pPr>
                  <w:r>
                    <w:rPr>
                      <w:sz w:val="21"/>
                    </w:rPr>
                    <w:t>辆/天</w:t>
                  </w:r>
                </w:p>
              </w:tc>
              <w:tc>
                <w:tcPr>
                  <w:tcW w:w="1084" w:type="dxa"/>
                  <w:tcBorders>
                    <w:top w:val="nil"/>
                    <w:left w:val="nil"/>
                    <w:bottom w:val="single" w:color="000000" w:sz="4" w:space="0"/>
                    <w:right w:val="single" w:color="000000" w:sz="4" w:space="0"/>
                  </w:tcBorders>
                  <w:vAlign w:val="top"/>
                </w:tcPr>
                <w:p w14:paraId="46DC14D0">
                  <w:pPr>
                    <w:jc w:val="center"/>
                  </w:pPr>
                  <w:r>
                    <w:rPr>
                      <w:sz w:val="21"/>
                    </w:rPr>
                    <w:t>35</w:t>
                  </w:r>
                </w:p>
              </w:tc>
            </w:tr>
            <w:tr w14:paraId="400861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427" w:type="dxa"/>
              </w:trPr>
              <w:tc>
                <w:tcPr>
                  <w:tcW w:w="3284" w:type="dxa"/>
                  <w:tcBorders>
                    <w:top w:val="nil"/>
                    <w:left w:val="single" w:color="000000" w:sz="4" w:space="0"/>
                    <w:bottom w:val="single" w:color="000000" w:sz="4" w:space="0"/>
                    <w:right w:val="single" w:color="000000" w:sz="4" w:space="0"/>
                  </w:tcBorders>
                  <w:vAlign w:val="top"/>
                </w:tcPr>
                <w:p w14:paraId="68485844">
                  <w:pPr>
                    <w:jc w:val="center"/>
                  </w:pPr>
                  <w:r>
                    <w:rPr>
                      <w:sz w:val="21"/>
                    </w:rPr>
                    <w:t>40吨以上货车</w:t>
                  </w:r>
                </w:p>
              </w:tc>
              <w:tc>
                <w:tcPr>
                  <w:tcW w:w="804" w:type="dxa"/>
                  <w:tcBorders>
                    <w:top w:val="nil"/>
                    <w:left w:val="nil"/>
                    <w:bottom w:val="single" w:color="000000" w:sz="4" w:space="0"/>
                    <w:right w:val="single" w:color="000000" w:sz="4" w:space="0"/>
                  </w:tcBorders>
                  <w:vAlign w:val="top"/>
                </w:tcPr>
                <w:p w14:paraId="118AE60E">
                  <w:pPr>
                    <w:jc w:val="center"/>
                  </w:pPr>
                  <w:r>
                    <w:rPr>
                      <w:sz w:val="21"/>
                    </w:rPr>
                    <w:t>辆/天</w:t>
                  </w:r>
                </w:p>
              </w:tc>
              <w:tc>
                <w:tcPr>
                  <w:tcW w:w="1084" w:type="dxa"/>
                  <w:tcBorders>
                    <w:top w:val="nil"/>
                    <w:left w:val="nil"/>
                    <w:bottom w:val="single" w:color="000000" w:sz="4" w:space="0"/>
                    <w:right w:val="single" w:color="000000" w:sz="4" w:space="0"/>
                  </w:tcBorders>
                  <w:vAlign w:val="top"/>
                </w:tcPr>
                <w:p w14:paraId="3EA3E290">
                  <w:pPr>
                    <w:jc w:val="center"/>
                  </w:pPr>
                  <w:r>
                    <w:rPr>
                      <w:sz w:val="21"/>
                    </w:rPr>
                    <w:t>40</w:t>
                  </w:r>
                </w:p>
              </w:tc>
            </w:tr>
          </w:tbl>
          <w:p w14:paraId="6498E7B5"/>
        </w:tc>
      </w:tr>
      <w:tr w14:paraId="481DE2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4C9AD9E"/>
        </w:tc>
        <w:tc>
          <w:tcPr>
            <w:tcW w:w="415" w:type="dxa"/>
          </w:tcPr>
          <w:p w14:paraId="5F05E8B4">
            <w:r>
              <w:t>4</w:t>
            </w:r>
          </w:p>
        </w:tc>
        <w:tc>
          <w:tcPr>
            <w:tcW w:w="5814" w:type="dxa"/>
          </w:tcPr>
          <w:p w14:paraId="220D0454">
            <w:pPr>
              <w:jc w:val="center"/>
            </w:pPr>
            <w:r>
              <w:rPr>
                <w:b/>
                <w:sz w:val="21"/>
              </w:rPr>
              <w:t>普通公路、城市道路事故车辆清障（路面清理）服务收费标准</w:t>
            </w:r>
          </w:p>
          <w:tbl>
            <w:tblPr>
              <w:tblStyle w:val="2"/>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209"/>
              <w:gridCol w:w="1211"/>
              <w:gridCol w:w="1351"/>
              <w:gridCol w:w="1702"/>
            </w:tblGrid>
            <w:tr w14:paraId="14C38E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1241" w:type="dxa"/>
                  <w:tcBorders>
                    <w:top w:val="single" w:color="000000" w:sz="4" w:space="0"/>
                    <w:left w:val="single" w:color="000000" w:sz="4" w:space="0"/>
                    <w:bottom w:val="single" w:color="000000" w:sz="4" w:space="0"/>
                    <w:right w:val="single" w:color="000000" w:sz="4" w:space="0"/>
                  </w:tcBorders>
                  <w:vAlign w:val="top"/>
                </w:tcPr>
                <w:p w14:paraId="468C22C0">
                  <w:pPr>
                    <w:jc w:val="center"/>
                  </w:pPr>
                  <w:r>
                    <w:rPr>
                      <w:b/>
                      <w:sz w:val="21"/>
                    </w:rPr>
                    <w:t>项目内容</w:t>
                  </w:r>
                </w:p>
              </w:tc>
              <w:tc>
                <w:tcPr>
                  <w:tcW w:w="1242" w:type="dxa"/>
                  <w:tcBorders>
                    <w:top w:val="single" w:color="000000" w:sz="4" w:space="0"/>
                    <w:left w:val="nil"/>
                    <w:bottom w:val="single" w:color="000000" w:sz="4" w:space="0"/>
                    <w:right w:val="single" w:color="000000" w:sz="4" w:space="0"/>
                  </w:tcBorders>
                  <w:vAlign w:val="top"/>
                </w:tcPr>
                <w:p w14:paraId="2FD97261">
                  <w:pPr>
                    <w:jc w:val="center"/>
                  </w:pPr>
                  <w:r>
                    <w:rPr>
                      <w:b/>
                      <w:sz w:val="21"/>
                    </w:rPr>
                    <w:t>计算单位</w:t>
                  </w:r>
                </w:p>
              </w:tc>
              <w:tc>
                <w:tcPr>
                  <w:tcW w:w="1371" w:type="dxa"/>
                  <w:tcBorders>
                    <w:top w:val="single" w:color="000000" w:sz="4" w:space="0"/>
                    <w:left w:val="nil"/>
                    <w:bottom w:val="single" w:color="000000" w:sz="4" w:space="0"/>
                    <w:right w:val="single" w:color="000000" w:sz="4" w:space="0"/>
                  </w:tcBorders>
                  <w:vAlign w:val="top"/>
                </w:tcPr>
                <w:p w14:paraId="7FEF1B60">
                  <w:pPr>
                    <w:jc w:val="center"/>
                  </w:pPr>
                  <w:r>
                    <w:rPr>
                      <w:b/>
                      <w:sz w:val="21"/>
                    </w:rPr>
                    <w:t>收费（元）</w:t>
                  </w:r>
                </w:p>
              </w:tc>
              <w:tc>
                <w:tcPr>
                  <w:tcW w:w="1744" w:type="dxa"/>
                  <w:tcBorders>
                    <w:top w:val="single" w:color="000000" w:sz="4" w:space="0"/>
                    <w:left w:val="nil"/>
                    <w:bottom w:val="single" w:color="000000" w:sz="4" w:space="0"/>
                    <w:right w:val="single" w:color="000000" w:sz="4" w:space="0"/>
                  </w:tcBorders>
                  <w:vAlign w:val="top"/>
                </w:tcPr>
                <w:p w14:paraId="794D5924">
                  <w:pPr>
                    <w:jc w:val="center"/>
                  </w:pPr>
                  <w:r>
                    <w:rPr>
                      <w:b/>
                      <w:sz w:val="21"/>
                    </w:rPr>
                    <w:t>备注</w:t>
                  </w:r>
                </w:p>
              </w:tc>
            </w:tr>
            <w:tr w14:paraId="7EA430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41" w:type="dxa"/>
                  <w:tcBorders>
                    <w:top w:val="nil"/>
                    <w:left w:val="single" w:color="000000" w:sz="4" w:space="0"/>
                    <w:bottom w:val="single" w:color="000000" w:sz="4" w:space="0"/>
                    <w:right w:val="single" w:color="000000" w:sz="4" w:space="0"/>
                  </w:tcBorders>
                  <w:vAlign w:val="top"/>
                </w:tcPr>
                <w:p w14:paraId="6F187B11">
                  <w:pPr>
                    <w:jc w:val="center"/>
                  </w:pPr>
                  <w:r>
                    <w:rPr>
                      <w:sz w:val="21"/>
                    </w:rPr>
                    <w:t>放空费</w:t>
                  </w:r>
                </w:p>
              </w:tc>
              <w:tc>
                <w:tcPr>
                  <w:tcW w:w="1242" w:type="dxa"/>
                  <w:tcBorders>
                    <w:top w:val="nil"/>
                    <w:left w:val="nil"/>
                    <w:bottom w:val="single" w:color="000000" w:sz="4" w:space="0"/>
                    <w:right w:val="single" w:color="000000" w:sz="4" w:space="0"/>
                  </w:tcBorders>
                  <w:vAlign w:val="top"/>
                </w:tcPr>
                <w:p w14:paraId="3ECDD1AF">
                  <w:pPr>
                    <w:jc w:val="center"/>
                  </w:pPr>
                  <w:r>
                    <w:rPr>
                      <w:sz w:val="21"/>
                    </w:rPr>
                    <w:t>辆/次</w:t>
                  </w:r>
                </w:p>
              </w:tc>
              <w:tc>
                <w:tcPr>
                  <w:tcW w:w="1371" w:type="dxa"/>
                  <w:tcBorders>
                    <w:top w:val="nil"/>
                    <w:left w:val="nil"/>
                    <w:bottom w:val="single" w:color="000000" w:sz="4" w:space="0"/>
                    <w:right w:val="single" w:color="000000" w:sz="4" w:space="0"/>
                  </w:tcBorders>
                  <w:vAlign w:val="top"/>
                </w:tcPr>
                <w:p w14:paraId="0B3B9D80">
                  <w:pPr>
                    <w:jc w:val="center"/>
                  </w:pPr>
                  <w:r>
                    <w:rPr>
                      <w:sz w:val="21"/>
                    </w:rPr>
                    <w:t>60</w:t>
                  </w:r>
                </w:p>
              </w:tc>
              <w:tc>
                <w:tcPr>
                  <w:tcW w:w="1744" w:type="dxa"/>
                  <w:vMerge w:val="restart"/>
                  <w:tcBorders>
                    <w:top w:val="nil"/>
                    <w:left w:val="nil"/>
                    <w:bottom w:val="nil"/>
                    <w:right w:val="single" w:color="000000" w:sz="4" w:space="0"/>
                  </w:tcBorders>
                  <w:vAlign w:val="top"/>
                </w:tcPr>
                <w:p w14:paraId="12F555D5">
                  <w:pPr>
                    <w:jc w:val="center"/>
                  </w:pPr>
                  <w:r>
                    <w:rPr>
                      <w:sz w:val="21"/>
                    </w:rPr>
                    <w:t>涉及需要吊车或外来人员参与现场清理路面，其服务费用将另外根据市场价现场议价决定。</w:t>
                  </w:r>
                </w:p>
              </w:tc>
            </w:tr>
            <w:tr w14:paraId="1E2D6D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1702" w:type="dxa"/>
              </w:trPr>
              <w:tc>
                <w:tcPr>
                  <w:tcW w:w="1241" w:type="dxa"/>
                  <w:tcBorders>
                    <w:top w:val="nil"/>
                    <w:left w:val="single" w:color="000000" w:sz="4" w:space="0"/>
                    <w:bottom w:val="single" w:color="000000" w:sz="4" w:space="0"/>
                    <w:right w:val="single" w:color="000000" w:sz="4" w:space="0"/>
                  </w:tcBorders>
                  <w:vAlign w:val="top"/>
                </w:tcPr>
                <w:p w14:paraId="54CC1620">
                  <w:pPr>
                    <w:jc w:val="center"/>
                  </w:pPr>
                  <w:r>
                    <w:rPr>
                      <w:sz w:val="21"/>
                    </w:rPr>
                    <w:t>一般事故</w:t>
                  </w:r>
                </w:p>
              </w:tc>
              <w:tc>
                <w:tcPr>
                  <w:tcW w:w="1242" w:type="dxa"/>
                  <w:tcBorders>
                    <w:top w:val="nil"/>
                    <w:left w:val="nil"/>
                    <w:bottom w:val="single" w:color="000000" w:sz="4" w:space="0"/>
                    <w:right w:val="single" w:color="000000" w:sz="4" w:space="0"/>
                  </w:tcBorders>
                  <w:vAlign w:val="top"/>
                </w:tcPr>
                <w:p w14:paraId="1A1355AA">
                  <w:pPr>
                    <w:jc w:val="center"/>
                  </w:pPr>
                  <w:r>
                    <w:rPr>
                      <w:sz w:val="21"/>
                    </w:rPr>
                    <w:t>台/次</w:t>
                  </w:r>
                </w:p>
              </w:tc>
              <w:tc>
                <w:tcPr>
                  <w:tcW w:w="1371" w:type="dxa"/>
                  <w:tcBorders>
                    <w:top w:val="nil"/>
                    <w:left w:val="nil"/>
                    <w:bottom w:val="single" w:color="000000" w:sz="4" w:space="0"/>
                    <w:right w:val="single" w:color="000000" w:sz="4" w:space="0"/>
                  </w:tcBorders>
                  <w:vAlign w:val="top"/>
                </w:tcPr>
                <w:p w14:paraId="7DCC644E">
                  <w:pPr>
                    <w:jc w:val="center"/>
                  </w:pPr>
                  <w:r>
                    <w:rPr>
                      <w:sz w:val="21"/>
                    </w:rPr>
                    <w:t>100</w:t>
                  </w:r>
                </w:p>
              </w:tc>
            </w:tr>
            <w:tr w14:paraId="61E4851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1702" w:type="dxa"/>
              </w:trPr>
              <w:tc>
                <w:tcPr>
                  <w:tcW w:w="1241" w:type="dxa"/>
                  <w:tcBorders>
                    <w:top w:val="nil"/>
                    <w:left w:val="single" w:color="000000" w:sz="4" w:space="0"/>
                    <w:bottom w:val="single" w:color="000000" w:sz="4" w:space="0"/>
                    <w:right w:val="single" w:color="000000" w:sz="4" w:space="0"/>
                  </w:tcBorders>
                  <w:vAlign w:val="top"/>
                </w:tcPr>
                <w:p w14:paraId="2A7D1A30">
                  <w:pPr>
                    <w:jc w:val="center"/>
                  </w:pPr>
                  <w:r>
                    <w:rPr>
                      <w:sz w:val="21"/>
                    </w:rPr>
                    <w:t>重大事故</w:t>
                  </w:r>
                </w:p>
              </w:tc>
              <w:tc>
                <w:tcPr>
                  <w:tcW w:w="1242" w:type="dxa"/>
                  <w:tcBorders>
                    <w:top w:val="nil"/>
                    <w:left w:val="nil"/>
                    <w:bottom w:val="single" w:color="000000" w:sz="4" w:space="0"/>
                    <w:right w:val="single" w:color="000000" w:sz="4" w:space="0"/>
                  </w:tcBorders>
                  <w:vAlign w:val="top"/>
                </w:tcPr>
                <w:p w14:paraId="5899FA89">
                  <w:pPr>
                    <w:jc w:val="center"/>
                  </w:pPr>
                  <w:r>
                    <w:rPr>
                      <w:sz w:val="21"/>
                    </w:rPr>
                    <w:t>台/次</w:t>
                  </w:r>
                </w:p>
              </w:tc>
              <w:tc>
                <w:tcPr>
                  <w:tcW w:w="1371" w:type="dxa"/>
                  <w:tcBorders>
                    <w:top w:val="nil"/>
                    <w:left w:val="nil"/>
                    <w:bottom w:val="single" w:color="000000" w:sz="4" w:space="0"/>
                    <w:right w:val="single" w:color="000000" w:sz="4" w:space="0"/>
                  </w:tcBorders>
                  <w:vAlign w:val="top"/>
                </w:tcPr>
                <w:p w14:paraId="3DBA638E">
                  <w:pPr>
                    <w:jc w:val="center"/>
                  </w:pPr>
                  <w:r>
                    <w:rPr>
                      <w:sz w:val="21"/>
                    </w:rPr>
                    <w:t>200</w:t>
                  </w:r>
                </w:p>
              </w:tc>
            </w:tr>
            <w:tr w14:paraId="352348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gridAfter w:val="1"/>
                <w:wAfter w:w="1702" w:type="dxa"/>
              </w:trPr>
              <w:tc>
                <w:tcPr>
                  <w:tcW w:w="1241" w:type="dxa"/>
                  <w:tcBorders>
                    <w:top w:val="nil"/>
                    <w:left w:val="single" w:color="000000" w:sz="4" w:space="0"/>
                    <w:bottom w:val="single" w:color="000000" w:sz="4" w:space="0"/>
                    <w:right w:val="single" w:color="000000" w:sz="4" w:space="0"/>
                  </w:tcBorders>
                  <w:vAlign w:val="top"/>
                </w:tcPr>
                <w:p w14:paraId="0BBAD601">
                  <w:pPr>
                    <w:jc w:val="center"/>
                  </w:pPr>
                  <w:r>
                    <w:rPr>
                      <w:sz w:val="21"/>
                    </w:rPr>
                    <w:t>特大事故</w:t>
                  </w:r>
                </w:p>
              </w:tc>
              <w:tc>
                <w:tcPr>
                  <w:tcW w:w="1242" w:type="dxa"/>
                  <w:tcBorders>
                    <w:top w:val="nil"/>
                    <w:left w:val="nil"/>
                    <w:bottom w:val="single" w:color="000000" w:sz="4" w:space="0"/>
                    <w:right w:val="single" w:color="000000" w:sz="4" w:space="0"/>
                  </w:tcBorders>
                  <w:vAlign w:val="top"/>
                </w:tcPr>
                <w:p w14:paraId="756267BE">
                  <w:pPr>
                    <w:jc w:val="center"/>
                  </w:pPr>
                  <w:r>
                    <w:rPr>
                      <w:sz w:val="21"/>
                    </w:rPr>
                    <w:t>台/次</w:t>
                  </w:r>
                </w:p>
              </w:tc>
              <w:tc>
                <w:tcPr>
                  <w:tcW w:w="1371" w:type="dxa"/>
                  <w:tcBorders>
                    <w:top w:val="nil"/>
                    <w:left w:val="nil"/>
                    <w:bottom w:val="single" w:color="000000" w:sz="4" w:space="0"/>
                    <w:right w:val="single" w:color="000000" w:sz="4" w:space="0"/>
                  </w:tcBorders>
                  <w:vAlign w:val="top"/>
                </w:tcPr>
                <w:p w14:paraId="50ACBD68">
                  <w:pPr>
                    <w:jc w:val="center"/>
                  </w:pPr>
                  <w:r>
                    <w:rPr>
                      <w:sz w:val="21"/>
                    </w:rPr>
                    <w:t>300</w:t>
                  </w:r>
                </w:p>
              </w:tc>
            </w:tr>
          </w:tbl>
          <w:p w14:paraId="1EB4FABF"/>
        </w:tc>
      </w:tr>
      <w:tr w14:paraId="11D898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51CB0BFE"/>
        </w:tc>
        <w:tc>
          <w:tcPr>
            <w:tcW w:w="415" w:type="dxa"/>
          </w:tcPr>
          <w:p w14:paraId="11576C50">
            <w:r>
              <w:t>5</w:t>
            </w:r>
          </w:p>
        </w:tc>
        <w:tc>
          <w:tcPr>
            <w:tcW w:w="5814" w:type="dxa"/>
          </w:tcPr>
          <w:p w14:paraId="08F5694B">
            <w:pPr>
              <w:jc w:val="center"/>
            </w:pPr>
            <w:r>
              <w:rPr>
                <w:b/>
                <w:sz w:val="21"/>
              </w:rPr>
              <w:t>（一）总体服务要求</w:t>
            </w:r>
          </w:p>
          <w:p w14:paraId="2B61A7F7">
            <w:pPr>
              <w:jc w:val="both"/>
            </w:pPr>
            <w:r>
              <w:rPr>
                <w:sz w:val="21"/>
              </w:rPr>
              <w:t>1、服务期内，成交供应商需对提供服务的车辆进行维修保养、年检等，在原服务车辆不能按时到场服务的情况下，成交供应商须提供同车型、同吨位的备用车辆（具有合法、完备证照），并事前征得采购人同意。</w:t>
            </w:r>
          </w:p>
          <w:p w14:paraId="76859F39">
            <w:pPr>
              <w:jc w:val="both"/>
            </w:pPr>
            <w:r>
              <w:rPr>
                <w:sz w:val="21"/>
              </w:rPr>
              <w:t>2、成交供应商因操作不善造成损失的，由成交供应商承担全部责任。交通事故车辆未经有关部门检测的，任何单位或个人未经办案单位允许不能接近或破坏车辆痕迹，成交供应商有义务保护车辆有关痕迹，因保管不妥造成的后果，成交供应商需承担全部责任。</w:t>
            </w:r>
          </w:p>
          <w:p w14:paraId="3339E736">
            <w:pPr>
              <w:jc w:val="both"/>
            </w:pPr>
            <w:r>
              <w:rPr>
                <w:sz w:val="21"/>
              </w:rPr>
              <w:t>3、成交供应商严禁发生私藏、占用、窃取公私财物等行为，违者，由成交供应商承担一切责任，采购人有权追究其法律责任。</w:t>
            </w:r>
          </w:p>
          <w:p w14:paraId="55FF3B3B">
            <w:pPr>
              <w:jc w:val="both"/>
            </w:pPr>
            <w:r>
              <w:rPr>
                <w:sz w:val="21"/>
              </w:rPr>
              <w:t>4、成交供应商在作业中应按照有关法律规定，做好必要的安全防护措施，作业中发生责任事故，成交供应商应立即通知采购人。如造成被服务车辆损失，或对第三者造成损害，成交供应商应承担全部责任。</w:t>
            </w:r>
          </w:p>
          <w:p w14:paraId="613D49C7">
            <w:pPr>
              <w:jc w:val="both"/>
            </w:pPr>
            <w:r>
              <w:rPr>
                <w:sz w:val="21"/>
              </w:rPr>
              <w:t>5、交通警察现场移交被拖吊车辆及车上物品后，成交供应商应确保车辆及车上物品安全，按要求将被拖吊车辆以及车上物品等拖吊到成交供应商车辆保管场，做好入场交接登记等手续，并妥善保管。违者，采购人有权追究其法律责任，造成一切损失由成交供应商承担。</w:t>
            </w:r>
          </w:p>
          <w:p w14:paraId="61A7A5DE">
            <w:pPr>
              <w:jc w:val="both"/>
            </w:pPr>
            <w:r>
              <w:rPr>
                <w:sz w:val="21"/>
              </w:rPr>
              <w:t>6、成交供应商受采购人调配跨约定服务区域开展拖吊车服务，其服务要求、费用结算方式等与本需求规定的一致。</w:t>
            </w:r>
          </w:p>
          <w:p w14:paraId="6ABDF493">
            <w:pPr>
              <w:jc w:val="both"/>
            </w:pPr>
            <w:r>
              <w:rPr>
                <w:sz w:val="21"/>
              </w:rPr>
              <w:t>7、对成交供应商投保商业保险的约定</w:t>
            </w:r>
          </w:p>
          <w:p w14:paraId="3F434DDE">
            <w:pPr>
              <w:jc w:val="both"/>
            </w:pPr>
            <w:r>
              <w:rPr>
                <w:sz w:val="21"/>
              </w:rPr>
              <w:t>（1）成交供应商在服务期内应就拖吊车辆的具体行为定期购买商业财产保险。</w:t>
            </w:r>
          </w:p>
          <w:p w14:paraId="10C7B764">
            <w:pPr>
              <w:jc w:val="both"/>
            </w:pPr>
            <w:r>
              <w:rPr>
                <w:sz w:val="21"/>
              </w:rPr>
              <w:t>（2）发生保险理赔范围内的事故，如保险公司赔付的金额不足以支付成交供应商应当承担的责任，不足部分由成交供应商负担，采购人不承担因此导致的任何责任。</w:t>
            </w:r>
          </w:p>
          <w:p w14:paraId="330FD2A8">
            <w:pPr>
              <w:jc w:val="center"/>
            </w:pPr>
            <w:r>
              <w:rPr>
                <w:b/>
                <w:sz w:val="21"/>
              </w:rPr>
              <w:t>（二）车辆拖移服务</w:t>
            </w:r>
          </w:p>
          <w:p w14:paraId="1F420C4B">
            <w:pPr>
              <w:jc w:val="both"/>
            </w:pPr>
            <w:r>
              <w:rPr>
                <w:sz w:val="21"/>
              </w:rPr>
              <w:t>1、提供具有合法手续的拯救拖车（可租赁），在接到重大任务时能够确保随时调用，2吨（含2吨）至5吨中小型专项作业车、5吨（含5吨）以上大中型专项作业车、15、30吨大型专项作业车。</w:t>
            </w:r>
          </w:p>
          <w:p w14:paraId="536EE678">
            <w:pPr>
              <w:jc w:val="both"/>
            </w:pPr>
            <w:r>
              <w:rPr>
                <w:sz w:val="21"/>
              </w:rPr>
              <w:t>2、拯救拖曳车辆及吊机应具有作业完善功能，安全有效，每辆车配备行车记录仪及GPS定位系统。</w:t>
            </w:r>
          </w:p>
          <w:p w14:paraId="01E9FA5C">
            <w:pPr>
              <w:jc w:val="both"/>
            </w:pPr>
            <w:r>
              <w:rPr>
                <w:sz w:val="21"/>
              </w:rPr>
              <w:t>3、每辆作业车辆配备具有相应资格的驾驶员，并具有拖曳、拯救、起重作业技术能力。</w:t>
            </w:r>
          </w:p>
          <w:p w14:paraId="389D8832">
            <w:pPr>
              <w:jc w:val="center"/>
            </w:pPr>
            <w:r>
              <w:rPr>
                <w:b/>
                <w:sz w:val="21"/>
              </w:rPr>
              <w:t>（三）车辆保管服务</w:t>
            </w:r>
          </w:p>
          <w:p w14:paraId="7D1BD525">
            <w:pPr>
              <w:jc w:val="both"/>
            </w:pPr>
            <w:r>
              <w:rPr>
                <w:sz w:val="21"/>
              </w:rPr>
              <w:t>1、提供停车场不少于3个或者停车场地总面积不小于30000平方米，并能根据工作实际需要增加停车场面积。</w:t>
            </w:r>
          </w:p>
          <w:p w14:paraId="29EF094C">
            <w:pPr>
              <w:jc w:val="both"/>
            </w:pPr>
            <w:r>
              <w:rPr>
                <w:sz w:val="21"/>
              </w:rPr>
              <w:t>2、停车场具有履行协议所必需的设备和专业技术能力，能够将除违法乱停以外的需拖移、扣押车辆安全运送至本停车场内。</w:t>
            </w:r>
          </w:p>
          <w:p w14:paraId="631C2D81">
            <w:pPr>
              <w:jc w:val="both"/>
            </w:pPr>
            <w:r>
              <w:rPr>
                <w:sz w:val="21"/>
              </w:rPr>
              <w:t>3、停车场需符合《韶关市停车场管理办法》的要求，具有必要的通风、照明、排水、消防、监控等设施，能开展车辆保管、车辆出入管理等工作，设置有岗亭等固定的办公场所，配备相应的工作电脑；根据车辆类别设立不同的停车区和对应的标志牌及通行区域；具备有效防止违法车辆强行冲卡的门禁系统。</w:t>
            </w:r>
          </w:p>
          <w:p w14:paraId="7397CF72">
            <w:pPr>
              <w:jc w:val="both"/>
            </w:pPr>
            <w:r>
              <w:rPr>
                <w:sz w:val="21"/>
              </w:rPr>
              <w:t>4、管理人员着统一的标识服装，佩戴统一的标识和工作牌，经过培训相关知识后上岗，按照规定开展工作。</w:t>
            </w:r>
          </w:p>
          <w:p w14:paraId="6BCB4D9B">
            <w:pPr>
              <w:jc w:val="both"/>
            </w:pPr>
            <w:r>
              <w:rPr>
                <w:color w:val="000000"/>
                <w:sz w:val="21"/>
              </w:rPr>
              <w:t>5、交通违法、事故车辆停放保管服务收费标准，即服务收费标准-普通公路、城市道路违法车辆保管服务收费标准x100%.采购人只支付法律规定的时间内所产生的费用(车辆停放时限不超过18 个自然日)。超过法律规定时间外的交通违法车辆、交通事故车辆的保管服邻费原则上由车主支付。若交通违法车辆在停车保管服务期间无人认领，导致车辆进入报废处理阶段(三个月的公示期后)，采购人不再向成交供应商支付停车保管费。</w:t>
            </w:r>
          </w:p>
          <w:p w14:paraId="776B01BA">
            <w:pPr>
              <w:jc w:val="center"/>
            </w:pPr>
            <w:r>
              <w:rPr>
                <w:b/>
                <w:sz w:val="21"/>
              </w:rPr>
              <w:t>（四）其他要求</w:t>
            </w:r>
          </w:p>
          <w:p w14:paraId="6774FD64">
            <w:pPr>
              <w:jc w:val="both"/>
            </w:pPr>
            <w:r>
              <w:rPr>
                <w:sz w:val="21"/>
              </w:rPr>
              <w:t>其余未尽事项由采购人和成交供应商另行商定补充。</w:t>
            </w:r>
          </w:p>
        </w:tc>
      </w:tr>
      <w:tr w14:paraId="602093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62B7637">
            <w:r>
              <w:t>说明</w:t>
            </w:r>
          </w:p>
        </w:tc>
        <w:tc>
          <w:tcPr>
            <w:tcW w:w="6229" w:type="dxa"/>
            <w:gridSpan w:val="2"/>
          </w:tcPr>
          <w:p w14:paraId="0E7D3C1A">
            <w:pPr>
              <w:jc w:val="left"/>
            </w:pPr>
            <w:r>
              <w:t>打“★”号条款为实质性条款，若有任何一条负偏离或不满足则导致投标无效。</w:t>
            </w:r>
            <w:r>
              <w:br w:type="textWrapping"/>
            </w:r>
            <w:r>
              <w:t>打“▲”号条款为重要技术参数，若有部分“▲”条款未响应或不满足，将导致其响应性评审加重扣分，但不作为无效投标条款。</w:t>
            </w:r>
          </w:p>
        </w:tc>
      </w:tr>
    </w:tbl>
    <w:p w14:paraId="3615D7B8"/>
    <w:p w14:paraId="207825B1">
      <w:pPr>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1ED0054A"/>
    <w:rsid w:val="262008EB"/>
    <w:rsid w:val="35154ED0"/>
    <w:rsid w:val="390224F2"/>
    <w:rsid w:val="3F6F4DE9"/>
    <w:rsid w:val="51FC38DB"/>
    <w:rsid w:val="53B52B8D"/>
    <w:rsid w:val="55BB5076"/>
    <w:rsid w:val="57183488"/>
    <w:rsid w:val="72814069"/>
    <w:rsid w:val="77F79321"/>
    <w:rsid w:val="79227BA4"/>
    <w:rsid w:val="7B1206B1"/>
    <w:rsid w:val="7D3E32D7"/>
    <w:rsid w:val="7D9B3066"/>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1386</Words>
  <Characters>1490</Characters>
  <Lines>0</Lines>
  <Paragraphs>0</Paragraphs>
  <TotalTime>0</TotalTime>
  <ScaleCrop>false</ScaleCrop>
  <LinksUpToDate>false</LinksUpToDate>
  <CharactersWithSpaces>1502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anti'k</cp:lastModifiedBy>
  <dcterms:modified xsi:type="dcterms:W3CDTF">2025-08-07T08:59:40Z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eyJoZGlkIjoiNGY5ODFmODRkOWQyYzljYmRiZGJjNTQ5YjMxYmU2ZjEiLCJ1c2VySWQiOiI2NTUwMTUwNzUifQ==</vt:lpwstr>
  </property>
  <property fmtid="{D5CDD505-2E9C-101B-9397-08002B2CF9AE}" pid="4" name="ICV">
    <vt:lpwstr>5BF54C3072434D1AA0FDB13C155EE74B_12</vt:lpwstr>
  </property>
</Properties>
</file>